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8"/>
          <w:szCs w:val="48"/>
        </w:rPr>
        <w:t xml:space="preserve">Workforce Housing in the Upper San Miguel Region</w:t>
      </w:r>
    </w:p>
    <w:p>
      <w:pPr>
        <w:spacing w:after="90" w:line="296" w:lineRule="auto"/>
      </w:pPr>
      <w:r>
        <w:rPr>
          <w:b/>
          <w:bCs/>
          <w:color w:val="22303C"/>
          <w:sz w:val="30"/>
          <w:szCs w:val="30"/>
        </w:rPr>
        <w:t xml:space="preserve">Building for Actual Demand</w:t>
      </w:r>
    </w:p>
    <w:p>
      <w:pPr>
        <w:spacing w:after="240" w:line="296" w:lineRule="auto"/>
      </w:pPr>
      <w:r>
        <w:rPr>
          <w:color w:val="51606D"/>
          <w:sz w:val="24"/>
          <w:szCs w:val="24"/>
        </w:rPr>
        <w:t xml:space="preserve">An Independent Assessment of Affordability, Demand, Delivery Costs, and Regional Carrying Capacity — and a Decision Framework for Publicly Subsidized Housing</w:t>
      </w:r>
    </w:p>
    <w:p>
      <w:pPr>
        <w:spacing w:after="90" w:line="296" w:lineRule="auto"/>
      </w:pPr>
      <w:r>
        <w:rPr>
          <w:color w:val="22303C"/>
          <w:sz w:val="21"/>
          <w:szCs w:val="21"/>
        </w:rPr>
        <w:t xml:space="preserve">Prepared for the residents and public entities of the Town of Telluride, the Town of Mountain Village, and San Miguel County, Colorado</w:t>
      </w:r>
    </w:p>
    <w:p>
      <w:pPr>
        <w:spacing w:after="90" w:line="296" w:lineRule="auto"/>
      </w:pPr>
      <w:r>
        <w:rPr>
          <w:color w:val="22303C"/>
          <w:sz w:val="21"/>
          <w:szCs w:val="21"/>
        </w:rPr>
        <w:t xml:space="preserve">Prepared by </w:t>
      </w:r>
      <w:r>
        <w:rPr>
          <w:b/>
          <w:bCs/>
          <w:color w:val="22303C"/>
          <w:sz w:val="21"/>
          <w:szCs w:val="21"/>
        </w:rPr>
        <w:t xml:space="preserve">Livable Telluride</w:t>
      </w:r>
      <w:r>
        <w:rPr>
          <w:color w:val="22303C"/>
          <w:sz w:val="21"/>
          <w:szCs w:val="21"/>
        </w:rPr>
        <w:t xml:space="preserve">  ·  August 2026</w:t>
      </w:r>
    </w:p>
    <w:p>
      <w:pPr>
        <w:spacing w:after="280" w:line="296" w:lineRule="auto"/>
      </w:pPr>
      <w:r>
        <w:rPr>
          <w:b/>
          <w:bCs/>
          <w:color w:val="51606D"/>
          <w:sz w:val="20"/>
          <w:szCs w:val="20"/>
        </w:rPr>
        <w:t xml:space="preserve">DRAFT FOR DISCUSSION</w:t>
      </w:r>
      <w:r>
        <w:rPr>
          <w:color w:val="51606D"/>
          <w:sz w:val="20"/>
          <w:szCs w:val="20"/>
        </w:rPr>
        <w:t xml:space="preserve"> — consolidates and supersedes the July 31, 2026 assessment and the August 2026 road map</w:t>
      </w:r>
    </w:p>
    <w:p>
      <w:pPr>
        <w:spacing w:after="110" w:before="230"/>
      </w:pPr>
      <w:r>
        <w:rPr>
          <w:b/>
          <w:bCs/>
          <w:color w:val="22303C"/>
          <w:sz w:val="24"/>
          <w:szCs w:val="24"/>
        </w:rPr>
        <w:t xml:space="preserve">Important notice</w:t>
      </w:r>
    </w:p>
    <w:p>
      <w:pPr>
        <w:spacing w:after="170" w:line="296" w:lineRule="auto"/>
      </w:pPr>
      <w:r>
        <w:rPr>
          <w:b/>
          <w:bCs/>
          <w:color w:val="22303C"/>
          <w:sz w:val="21"/>
          <w:szCs w:val="21"/>
        </w:rPr>
        <w:t xml:space="preserve">Purpose.</w:t>
      </w:r>
      <w:r>
        <w:rPr>
          <w:color w:val="22303C"/>
          <w:sz w:val="21"/>
          <w:szCs w:val="21"/>
        </w:rPr>
        <w:t xml:space="preserve"> This report assembles, in one place and in plain language, the publicly available evidence on workforce housing in the upper San Miguel River valley (the “Region”): what housing costs to deliver, what residents earn and can afford, what demand the public programs have actually experienced, and the condition of the shared infrastructure that any additional housing must rely upon. It then converts that evidence into a decision framework — an objective, rule-based method for evaluating any proposal that requests public money, public land, density, or fee waivers for housing.</w:t>
      </w:r>
    </w:p>
    <w:p>
      <w:pPr>
        <w:spacing w:after="170" w:line="296" w:lineRule="auto"/>
      </w:pPr>
      <w:r>
        <w:rPr>
          <w:b/>
          <w:bCs/>
          <w:color w:val="22303C"/>
          <w:sz w:val="21"/>
          <w:szCs w:val="21"/>
        </w:rPr>
        <w:t xml:space="preserve">Basis of preparation.</w:t>
      </w:r>
      <w:r>
        <w:rPr>
          <w:color w:val="22303C"/>
          <w:sz w:val="21"/>
          <w:szCs w:val="21"/>
        </w:rPr>
        <w:t xml:space="preserve"> The analysis draws exclusively on public sources: adopted policies and ordinances, engineering master plans, audited financial statements and adopted budgets, state and federal datasets, certified lottery records, and — where no official record exists — published news reporting, identified as such. Each material figure carries an endnote identifying its source; notes marked [E] are Livable Telluride calculations and state their methods and assumptions.</w:t>
      </w:r>
    </w:p>
    <w:p>
      <w:pPr>
        <w:spacing w:after="170" w:line="296" w:lineRule="auto"/>
      </w:pPr>
      <w:r>
        <w:rPr>
          <w:b/>
          <w:bCs/>
          <w:color w:val="22303C"/>
          <w:sz w:val="21"/>
          <w:szCs w:val="21"/>
        </w:rPr>
        <w:t xml:space="preserve">Reliability grading.</w:t>
      </w:r>
      <w:r>
        <w:rPr>
          <w:color w:val="22303C"/>
          <w:sz w:val="21"/>
          <w:szCs w:val="21"/>
        </w:rPr>
        <w:t xml:space="preserve"> Grade A: official, adopted, or audited sources. Grade B: professional studies with stated sample sizes. Grade C: news reporting or single observations. Grades are noted in Appendix A and in the endnotes.</w:t>
      </w:r>
    </w:p>
    <w:p>
      <w:pPr>
        <w:spacing w:after="170" w:line="296" w:lineRule="auto"/>
      </w:pPr>
      <w:r>
        <w:rPr>
          <w:b/>
          <w:bCs/>
          <w:color w:val="22303C"/>
          <w:sz w:val="21"/>
          <w:szCs w:val="21"/>
        </w:rPr>
        <w:t xml:space="preserve">Limitations.</w:t>
      </w:r>
      <w:r>
        <w:rPr>
          <w:color w:val="22303C"/>
          <w:sz w:val="21"/>
          <w:szCs w:val="21"/>
        </w:rPr>
        <w:t xml:space="preserve"> Livable Telluride is an independent community organization, not a licensed engineering, accounting, or municipal advisory firm. Dollar figures are as reported in 2024–2026 sources and are not adjusted for inflation. Where public records conflict, the report says so. Corrections are welcomed and will be published.</w:t>
      </w:r>
    </w:p>
    <w:p>
      <w:pPr>
        <w:spacing w:after="170" w:line="296" w:lineRule="auto"/>
      </w:pPr>
      <w:r>
        <w:rPr>
          <w:b/>
          <w:bCs/>
          <w:color w:val="22303C"/>
          <w:sz w:val="21"/>
          <w:szCs w:val="21"/>
        </w:rPr>
        <w:t xml:space="preserve">A note on tone.</w:t>
      </w:r>
      <w:r>
        <w:rPr>
          <w:color w:val="22303C"/>
          <w:sz w:val="21"/>
          <w:szCs w:val="21"/>
        </w:rPr>
        <w:t xml:space="preserve"> The findings in this report are direct. None of them argue against workforce housing. They argue for complete arithmetic: building what residents demonstrably need, pricing it where they can pay, counting the full public cost, and deciding deliberately how much growth the Region intends to carry.</w:t>
      </w:r>
    </w:p>
    <w:p>
      <w:pPr>
        <w:spacing w:after="110" w:before="230"/>
      </w:pPr>
      <w:r>
        <w:rPr>
          <w:b/>
          <w:bCs/>
          <w:color w:val="22303C"/>
          <w:sz w:val="24"/>
          <w:szCs w:val="24"/>
        </w:rPr>
        <w:t xml:space="preserve">Definitions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Term</w:t>
            </w:r>
          </w:p>
        </w:tc>
        <w:tc>
          <w:tcPr>
            <w:tcW w:type="dxa" w:w="6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Definition</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AMI (Area Median Income)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Region's benchmark middle income, published annually by the State. Under the 2025 table used by the Town of Telluride, 100% of AMI is $83,700 for a one-person household and $95,600 for a two-person household. Program limits and rents are expressed as percentages of AMI.</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Income-restricted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subject to recorded restrictions on who may occupy it (generally local employees within income limits) and on rent or resale price. Includes deed-restricted units, where the restriction runs with the property's deed.</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income step used to set rent in the Town of Telluride's rental portfolio, lettered A (lowest) through J (highest).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Market-rate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not subject to occupancy or price restrictions.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subsidy</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public funds required to bridge the difference between what a unit costs to deliver and operate and what its occupants pay.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Need-catching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sized and priced for households already living or working in the Region: the current workforce, the overcrowded, the displaced, and in-commuters the Region chooses to repatriate.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Growth-accommodating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intended to enable economic expansion by attracting workers for new or unfilled positions. A legitimate policy objective with materially different economics, evaluated separately in this framework.</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Restriction purchase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Acquiring a permanent occupancy or price restriction on an existing home in exchange for payment, as in Vail's InDEED program — creating a workforce unit without construction.</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Efficiency frontier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ranking of housing instruments by net public cost per worker housed per year; the frontier consists of the instruments no alternative can beat on both cost and benefit.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MGD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Million gallons per day; the standard measure of water and wastewater plant capacity.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Biochemical oxygen demand; the standard measure of wastewater strength. The regional treatment plant is constrained by waste strength before water volume.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LOS (Level of Service)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A-through-F grading scale used by traffic engineers for intersection performance. LOS F denotes failure: long, unstable delays.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gondola</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free aerial transit link between Telluride and Mountain Village, in service since 1996 and approaching the end of its design life.</w:t>
            </w:r>
          </w:p>
        </w:tc>
      </w:tr>
    </w:tbl>
    <w:p>
      <w:pPr>
        <w:spacing w:after="110"/>
      </w:pPr>
    </w:p>
    <w:p>
      <w:pPr>
        <w:spacing w:after="150" w:before="330"/>
      </w:pPr>
      <w:r>
        <w:rPr>
          <w:b/>
          <w:bCs/>
          <w:color w:val="1D5C63"/>
          <w:sz w:val="30"/>
          <w:szCs w:val="30"/>
        </w:rPr>
        <w:t xml:space="preserve">Executive summary</w:t>
      </w:r>
    </w:p>
    <w:p>
      <w:pPr>
        <w:spacing w:after="170" w:line="296" w:lineRule="auto"/>
      </w:pPr>
      <w:r>
        <w:rPr>
          <w:color w:val="22303C"/>
          <w:sz w:val="21"/>
          <w:szCs w:val="21"/>
        </w:rPr>
        <w:t xml:space="preserve">Public discussion of housing in the Region generally begins with a single question: how can more units be built? The evidence assembled here indicates that this is the wrong starting point. The record supports a more precise set of questions: what should be built, for which households, at what public cost per unit, with what return per public dollar, and within what limits of regional infrastructure and public safety.</w:t>
      </w:r>
    </w:p>
    <w:p>
      <w:pPr>
        <w:spacing w:after="110" w:line="296" w:lineRule="auto"/>
      </w:pPr>
      <w:r>
        <w:rPr>
          <w:color w:val="22303C"/>
          <w:sz w:val="21"/>
          <w:szCs w:val="21"/>
        </w:rPr>
        <w:t xml:space="preserve">The assessment reaches ten principal findings: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50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8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Finding</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Local wages do not support local rents. Workers in the Region's two largest employment sectors can afford $960–$1,230 per month under the standard 30%-of-income measure; the median market rental is $1,848 and the Telluride median is approximately $3,056. (Section 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Demand for below-market housing is deep at low price points. A 2023 waitlist reopening in Mountain Village received 50 applications within two hours; a 2026 affordable-ownership lottery drew six qualified households per available unit.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F3</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Demand is nearly exhausted at the price points where new supply was set. The 2024 lottery for the Voodoo project, with rents targeting households at 110–170% of AMI, drew 33 applicants for 27 units; five units remained unleased that December.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F4</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January 2025 conversion to income-based rents functioned as an unintended pricing experiment: 82 renewals increased (35 by more than 49%), and by April 2026 approximately 24% of the Town's rental portfolio stood vacant. The Town's housing director attributed the vacancies to pricing, not demand. The rent formula has since been reduced.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F5</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Delivery costs make every new below-market unit a substantial public investment. At the Voodoo project's actual cost and financing, the public share ranges from approximately $644,000 per unit at the highest rents to approximately $1.03 million at the rents for which demand actually exists. Purchasing occupancy restrictions on existing homes, by comparison, has cost Vail approximately $62,000–$68,000 per unit. (Section 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F6</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Shared infrastructure is at or beyond rated capacity. The regional wastewater plant has exceeded its waste-strength rating, holds an expired permit under administrative continuation, and faces a replacement estimated well above $133 million. Two gateway intersections are projected to fail under background traffic growth alone. Gondola replacement, estimated at $120–150 million, is effectively unfunded: the dedicated tax yields approximately $8.2 million a year, of which roughly $5.5 million is consumed by operations, leaving about $2.7 million toward replacement — a 44-to-56-year accumulation — and that revenue is under appellate challenge. (Section 9)</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F7</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Approximately 84% of the County's officially identified 1,114-unit housing need serves growth (commuter relocation, unfilled jobs, and projected job creation) rather than existing residents. The choice between housing the current workforce and subsidizing growth is therefore the threshold policy decision, and it has not been made explicitly. (Sections 2 and 10)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F8</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evacuation clearance-time analysis exists for the Telluride box canyon, despite the County's own hazard plan describing wildfire evacuation as a principal concern. This is the single most consequential absent number in regional planning. (Sections 9 and 11)</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F9</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Ranked by net public cost per worker housed, the Region's housing instruments differ by more than an order of magnitude — and its most-used instrument fails a break-even test. Repricing vacant public units, purchasing restrictions, and master-leasing house a worker for roughly $2,000–$15,000 per year; bespoke construction at Voodoo-class costs exceeds the entire measurable annual benefit of housing the worker. (Sections 7 and 8)</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F10</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Under the need-catching objective, the honest program is finite and affordable: on the order of 250–400 beds, deliverable for approximately $15–25 million over a decade — less than the all-in public cost of the single Voodoo project — with a defined end state. By comparison, one proposed project, the 225-unit Carhenge redevelopment on Town land, is modeled at approximately $214 million: a comparable bed count at roughly ten times the cost. (Sections 12 and 16)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Subsidized ownership is a retention instrument, not an answer to the rental queue. It is defensible where the public contribution is a flat, restriction-class amount paired with a durable appreciation cap that keeps the subsidy in the unit permanently; it is a wealth transfer where the subsidy scales with the affordability gap of an expensive unit or the cap is weak. (Section 12)</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Town of Telluride has adopted a goal of housing 30% or more of its own employees in dedicated Town units, stated twice in the 2025 budget book and absent from the 2015 and 2020 books. The objective is public; its magnitude is not. On the report's method the benefit approximates $450,000–$600,000 per year of untaxed in-kind compensation — roughly 3–4% of Town labor cost — and the capital required ranges from approximately $4.1 million to $28.7 million depending solely on delivery instrument. Expressed as a percentage of a growing workforce, the objective cannot be completed. (Section 12)</w:t>
            </w:r>
          </w:p>
        </w:tc>
      </w:tr>
    </w:tbl>
    <w:p>
      <w:pPr>
        <w:spacing w:after="110"/>
      </w:pPr>
    </w:p>
    <w:p>
      <w:pPr>
        <w:spacing w:after="170" w:line="296" w:lineRule="auto"/>
      </w:pPr>
      <w:r>
        <w:rPr>
          <w:color w:val="22303C"/>
          <w:sz w:val="21"/>
          <w:szCs w:val="21"/>
        </w:rPr>
        <w:t xml:space="preserve">Sections 2 through 11 present the evidence. Section 12 addresses subsidized ownership and the public-employee housing loop. Sections 13 through 16 convert the evidence into a decision framework for the planning departments: twelve rules, a proposal scorecard, a retrospective test of the framework against the Region's own projects, and a costed program plan. Section 17 presents the recommendations; Section 18 identifies the material gaps in the public record.</w:t>
      </w:r>
    </w:p>
    <w:p>
      <w:pPr>
        <w:spacing w:after="150" w:before="330"/>
      </w:pPr>
      <w:r>
        <w:rPr>
          <w:b/>
          <w:bCs/>
          <w:color w:val="1D5C63"/>
          <w:sz w:val="30"/>
          <w:szCs w:val="30"/>
        </w:rPr>
        <w:t xml:space="preserve">1. Introduction and approach</w:t>
      </w:r>
    </w:p>
    <w:p>
      <w:pPr>
        <w:spacing w:after="170" w:line="296" w:lineRule="auto"/>
      </w:pPr>
      <w:r>
        <w:rPr>
          <w:color w:val="22303C"/>
          <w:sz w:val="21"/>
          <w:szCs w:val="21"/>
        </w:rPr>
        <w:t xml:space="preserve">Livable Telluride undertook this assessment between May and August 2026. The work proceeded in five stages: (1) assembly of a graded, source-controlled baseline of every public figure bearing on regional rents, incomes, program rules, and unit inventories; (2) reconstruction of program economics from bond documents, budgets, and adopted rent tables; (3) an infrastructure capacity review based on the systems' own engineering studies and regulatory records; (4) comparative research on peer resort communities (Aspen/Pitkin County, Whistler, Jackson/Teton County, Vail, and Sanibel, Florida); and (5) construction of the decision framework in Sections 12–16, which ranks the Region's demonstrated housing instruments by measured cost and benefit.</w:t>
      </w:r>
    </w:p>
    <w:p>
      <w:pPr>
        <w:spacing w:after="170" w:line="296" w:lineRule="auto"/>
      </w:pPr>
      <w:r>
        <w:rPr>
          <w:color w:val="22303C"/>
          <w:sz w:val="21"/>
          <w:szCs w:val="21"/>
        </w:rPr>
        <w:t xml:space="preserve">Two verification standards were applied throughout. First, no figure appears in this report without a source; calculations state their assumptions in the endnotes. Second, where possible, program rules were verified against live systems: the Town of Telluride's rent formula, for example, was tested against the Town's own online 2026 rent calculator and reproduced its output to the dollar.</w:t>
      </w:r>
      <w:r>
        <w:rPr>
          <w:b/>
          <w:bCs/>
          <w:color w:val="1D5C63"/>
          <w:sz w:val="17"/>
          <w:szCs w:val="17"/>
          <w:vertAlign w:val="superscript"/>
        </w:rPr>
        <w:t xml:space="preserve">4</w:t>
      </w:r>
    </w:p>
    <w:p>
      <w:pPr>
        <w:spacing w:after="150" w:before="330"/>
      </w:pPr>
      <w:r>
        <w:rPr>
          <w:b/>
          <w:bCs/>
          <w:color w:val="1D5C63"/>
          <w:sz w:val="30"/>
          <w:szCs w:val="30"/>
        </w:rPr>
        <w:t xml:space="preserve">2. The policy question: two objectives for subsidized housing</w:t>
      </w:r>
    </w:p>
    <w:p>
      <w:pPr>
        <w:spacing w:after="170" w:line="296" w:lineRule="auto"/>
      </w:pPr>
      <w:r>
        <w:rPr>
          <w:color w:val="22303C"/>
          <w:sz w:val="21"/>
          <w:szCs w:val="21"/>
        </w:rPr>
        <w:t xml:space="preserve">There are two distinct public objectives a subsidized-housing program can serve. </w:t>
      </w:r>
      <w:r>
        <w:rPr>
          <w:b/>
          <w:bCs/>
          <w:color w:val="22303C"/>
          <w:sz w:val="21"/>
          <w:szCs w:val="21"/>
        </w:rPr>
        <w:t xml:space="preserve">The first is to house the workforce the Region already has</w:t>
      </w:r>
      <w:r>
        <w:rPr>
          <w:color w:val="22303C"/>
          <w:sz w:val="21"/>
          <w:szCs w:val="21"/>
        </w:rPr>
        <w:t xml:space="preserve"> — the households currently overcrowded, precariously housed, or commuting long distances to jobs that already exist — while avoiding subsidies that recruit additional demand. </w:t>
      </w:r>
      <w:r>
        <w:rPr>
          <w:b/>
          <w:bCs/>
          <w:color w:val="22303C"/>
          <w:sz w:val="21"/>
          <w:szCs w:val="21"/>
        </w:rPr>
        <w:t xml:space="preserve">The second is to support economic growth</w:t>
      </w:r>
      <w:r>
        <w:rPr>
          <w:color w:val="22303C"/>
          <w:sz w:val="21"/>
          <w:szCs w:val="21"/>
        </w:rPr>
        <w:t xml:space="preserve"> by housing workers for new and expanding enterprises. Both are legitimate objectives. They carry materially different economics, different infrastructure consequences, and different end states, and a program that does not choose between them will tend to drift into the second while describing itself as the first.</w:t>
      </w:r>
    </w:p>
    <w:p>
      <w:pPr>
        <w:spacing w:after="170" w:line="296" w:lineRule="auto"/>
      </w:pPr>
      <w:r>
        <w:rPr>
          <w:color w:val="22303C"/>
          <w:sz w:val="21"/>
          <w:szCs w:val="21"/>
        </w:rPr>
        <w:t xml:space="preserve">The composition of the County's own adopted housing target quantifies the distinction. Of the 1,114 units of need identified in the 2025 Housing Needs Analysis, approximately 16% — 182 units — houses people who already live in the county. The remaining 84% accommodates relocating commuters, unfilled positions, and projected job creation.</w:t>
      </w:r>
      <w:r>
        <w:rPr>
          <w:b/>
          <w:bCs/>
          <w:color w:val="1D5C63"/>
          <w:sz w:val="17"/>
          <w:szCs w:val="17"/>
          <w:vertAlign w:val="superscript"/>
        </w:rPr>
        <w:t xml:space="preserve">47</w:t>
      </w:r>
    </w:p>
    <w:p>
      <w:pPr>
        <w:spacing w:after="50" w:before="11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230" w:line="296" w:lineRule="auto"/>
      </w:pPr>
      <w:r>
        <w:rPr>
          <w:b/>
          <w:bCs/>
          <w:color w:val="51606D"/>
          <w:sz w:val="19"/>
          <w:szCs w:val="19"/>
        </w:rPr>
        <w:t xml:space="preserve">Exhibit 1.</w:t>
      </w:r>
      <w:r>
        <w:rPr>
          <w:color w:val="51606D"/>
          <w:sz w:val="19"/>
          <w:szCs w:val="19"/>
        </w:rPr>
        <w:t xml:space="preserve"> Components of the 1,114-unit need identified in the 2025 Housing Needs Analysis.</w:t>
      </w:r>
      <w:r>
        <w:rPr>
          <w:b/>
          <w:bCs/>
          <w:color w:val="1D5C63"/>
          <w:sz w:val="17"/>
          <w:szCs w:val="17"/>
          <w:vertAlign w:val="superscript"/>
        </w:rPr>
        <w:t xml:space="preserve">47</w:t>
      </w:r>
    </w:p>
    <w:p>
      <w:pPr>
        <w:spacing w:after="170" w:line="296" w:lineRule="auto"/>
      </w:pPr>
      <w:r>
        <w:rPr>
          <w:b/>
          <w:bCs/>
          <w:color w:val="22303C"/>
          <w:sz w:val="21"/>
          <w:szCs w:val="21"/>
        </w:rPr>
        <w:t xml:space="preserve">This report adopts the first objective as its analytical lens</w:t>
      </w:r>
      <w:r>
        <w:rPr>
          <w:color w:val="22303C"/>
          <w:sz w:val="21"/>
          <w:szCs w:val="21"/>
        </w:rPr>
        <w:t xml:space="preserve">: house the current workforce; do not subsidize growth through the housing program. The choice rests on three findings developed in the sections that follow: demonstrated demand is concentrated among existing workers at below-market price points (Section 5); the public cost of serving growth-driven demand is unbounded so long as the growth itself is unbounded (Sections 6 and 10); and the Region's shared infrastructure cannot absorb open-ended expansion (Section 9). A jurisdiction that elects the growth objective can do so — but the election should be explicit, made by its governing body with the associated infrastructure obligations stated, rather than implicit in the sizing of a housing program.</w:t>
      </w:r>
    </w:p>
    <w:p>
      <w:pPr>
        <w:spacing w:after="150" w:before="330"/>
      </w:pPr>
      <w:r>
        <w:rPr>
          <w:b/>
          <w:bCs/>
          <w:color w:val="1D5C63"/>
          <w:sz w:val="30"/>
          <w:szCs w:val="30"/>
        </w:rPr>
        <w:t xml:space="preserve">3. The regional housing framework</w:t>
      </w:r>
    </w:p>
    <w:p>
      <w:pPr>
        <w:spacing w:after="170" w:line="296" w:lineRule="auto"/>
      </w:pPr>
      <w:r>
        <w:rPr>
          <w:color w:val="22303C"/>
          <w:sz w:val="21"/>
          <w:szCs w:val="21"/>
        </w:rPr>
        <w:t xml:space="preserve">A renter in the Region encounters four distinct systems:</w:t>
      </w:r>
    </w:p>
    <w:p>
      <w:pPr>
        <w:pStyle w:val="ListParagraph"/>
        <w:numPr>
          <w:ilvl w:val="0"/>
          <w:numId w:val="1"/>
        </w:numPr>
        <w:spacing w:after="90" w:line="286" w:lineRule="auto"/>
      </w:pPr>
      <w:r>
        <w:rPr>
          <w:b/>
          <w:bCs/>
          <w:color w:val="22303C"/>
          <w:sz w:val="21"/>
          <w:szCs w:val="21"/>
        </w:rPr>
        <w:t xml:space="preserve">Market-rate rentals.</w:t>
      </w:r>
      <w:r>
        <w:rPr>
          <w:color w:val="22303C"/>
          <w:sz w:val="21"/>
          <w:szCs w:val="21"/>
        </w:rPr>
        <w:t xml:space="preserve"> Unrestricted units; few listings at any time, with most turnover occurring through informal channels.</w:t>
      </w:r>
    </w:p>
    <w:p>
      <w:pPr>
        <w:pStyle w:val="ListParagraph"/>
        <w:numPr>
          <w:ilvl w:val="0"/>
          <w:numId w:val="1"/>
        </w:numPr>
        <w:spacing w:after="90" w:line="286" w:lineRule="auto"/>
      </w:pPr>
      <w:r>
        <w:rPr>
          <w:b/>
          <w:bCs/>
          <w:color w:val="22303C"/>
          <w:sz w:val="21"/>
          <w:szCs w:val="21"/>
        </w:rPr>
        <w:t xml:space="preserve">Town of Telluride portfolio (251 units).</w:t>
      </w:r>
      <w:r>
        <w:rPr>
          <w:b/>
          <w:bCs/>
          <w:color w:val="1D5C63"/>
          <w:sz w:val="17"/>
          <w:szCs w:val="17"/>
          <w:vertAlign w:val="superscript"/>
        </w:rPr>
        <w:t xml:space="preserve">1</w:t>
      </w:r>
      <w:r>
        <w:rPr>
          <w:color w:val="22303C"/>
          <w:sz w:val="21"/>
          <w:szCs w:val="21"/>
        </w:rPr>
        <w:t xml:space="preserve"> Shandoka (140 units), Sunnyside (30), Voodoo (27), Virginia Placer (21), and the Boarding House (33 rooms). Rents are set by household income tier rather than by unit.</w:t>
      </w:r>
    </w:p>
    <w:p>
      <w:pPr>
        <w:pStyle w:val="ListParagraph"/>
        <w:numPr>
          <w:ilvl w:val="0"/>
          <w:numId w:val="1"/>
        </w:numPr>
        <w:spacing w:after="90" w:line="286" w:lineRule="auto"/>
      </w:pPr>
      <w:r>
        <w:rPr>
          <w:b/>
          <w:bCs/>
          <w:color w:val="22303C"/>
          <w:sz w:val="21"/>
          <w:szCs w:val="21"/>
        </w:rPr>
        <w:t xml:space="preserve">Village Court Apartments, Mountain Village (approximately 220 units).</w:t>
      </w:r>
      <w:r>
        <w:rPr>
          <w:color w:val="22303C"/>
          <w:sz w:val="21"/>
          <w:szCs w:val="21"/>
        </w:rPr>
        <w:t xml:space="preserve"> Ninety-five units carry state income covenants at 50–60% of AMI; standard rents run from $824 (studio) to $1,574 (three-bedroom).</w:t>
      </w:r>
      <w:r>
        <w:rPr>
          <w:b/>
          <w:bCs/>
          <w:color w:val="1D5C63"/>
          <w:sz w:val="17"/>
          <w:szCs w:val="17"/>
          <w:vertAlign w:val="superscript"/>
        </w:rPr>
        <w:t xml:space="preserve">2</w:t>
      </w:r>
    </w:p>
    <w:p>
      <w:pPr>
        <w:pStyle w:val="ListParagraph"/>
        <w:numPr>
          <w:ilvl w:val="0"/>
          <w:numId w:val="1"/>
        </w:numPr>
        <w:spacing w:after="90" w:line="286" w:lineRule="auto"/>
      </w:pPr>
      <w:r>
        <w:rPr>
          <w:b/>
          <w:bCs/>
          <w:color w:val="22303C"/>
          <w:sz w:val="21"/>
          <w:szCs w:val="21"/>
        </w:rPr>
        <w:t xml:space="preserve">Privately owned deed-restricted units.</w:t>
      </w:r>
      <w:r>
        <w:rPr>
          <w:color w:val="22303C"/>
          <w:sz w:val="21"/>
          <w:szCs w:val="21"/>
        </w:rPr>
        <w:t xml:space="preserve"> Owner-occupied or rented under recorded restrictions; sales occur through lotteries, and rental listings are rare — one countywide in July 2026.</w:t>
      </w:r>
      <w:r>
        <w:rPr>
          <w:b/>
          <w:bCs/>
          <w:color w:val="1D5C63"/>
          <w:sz w:val="17"/>
          <w:szCs w:val="17"/>
          <w:vertAlign w:val="superscript"/>
        </w:rPr>
        <w:t xml:space="preserve">3</w:t>
      </w:r>
    </w:p>
    <w:p>
      <w:pPr>
        <w:spacing w:after="110" w:before="230"/>
      </w:pPr>
      <w:r>
        <w:rPr>
          <w:b/>
          <w:bCs/>
          <w:color w:val="22303C"/>
          <w:sz w:val="24"/>
          <w:szCs w:val="24"/>
        </w:rPr>
        <w:t xml:space="preserve">3.1 The Town rent formula</w:t>
      </w:r>
    </w:p>
    <w:p>
      <w:pPr>
        <w:spacing w:after="170" w:line="296" w:lineRule="auto"/>
      </w:pPr>
      <w:r>
        <w:rPr>
          <w:color w:val="22303C"/>
          <w:sz w:val="21"/>
          <w:szCs w:val="21"/>
        </w:rPr>
        <w:t xml:space="preserve">Since January 2025 the Town has set rent by income. The mechanics can be stated in one worked example. A two-person household earning $85,000 falls at 89% of the applicable AMI grid, placing it in Tier C. Tier C rent is derived from the 80%-of-AMI income level; for a one-bedroom at Shandoka this produces $1,395 per month.</w:t>
      </w:r>
      <w:r>
        <w:rPr>
          <w:b/>
          <w:bCs/>
          <w:color w:val="1D5C63"/>
          <w:sz w:val="17"/>
          <w:szCs w:val="17"/>
          <w:vertAlign w:val="superscript"/>
        </w:rPr>
        <w:t xml:space="preserve">4</w:t>
      </w:r>
      <w:r>
        <w:rPr>
          <w:color w:val="22303C"/>
          <w:sz w:val="21"/>
          <w:szCs w:val="21"/>
        </w:rPr>
        <w:t xml:space="preserve"> If documented income rises into a higher tier at renewal, rent steps up with it — the mechanism that produced the large renewal increases reported in 2025.</w:t>
      </w:r>
    </w:p>
    <w:p>
      <w:pPr>
        <w:spacing w:after="170" w:line="296" w:lineRule="auto"/>
      </w:pPr>
      <w:r>
        <w:rPr>
          <w:color w:val="22303C"/>
          <w:sz w:val="21"/>
          <w:szCs w:val="21"/>
        </w:rPr>
        <w:t xml:space="preserve">Two structural features are material to the findings. First, the formula applies 25% of the tier target income at Shandoka's original buildings and 27% elsewhere, rates the Town reduced from 27–30% effective January 2026 following the vacancy experience described in Section 5.</w:t>
      </w:r>
      <w:r>
        <w:rPr>
          <w:b/>
          <w:bCs/>
          <w:color w:val="1D5C63"/>
          <w:sz w:val="17"/>
          <w:szCs w:val="17"/>
          <w:vertAlign w:val="superscript"/>
        </w:rPr>
        <w:t xml:space="preserve">5</w:t>
      </w:r>
      <w:r>
        <w:rPr>
          <w:color w:val="22303C"/>
          <w:sz w:val="21"/>
          <w:szCs w:val="21"/>
        </w:rPr>
        <w:t xml:space="preserve"> Second, the lowest-cost buildings accept new tenants only in the lower tiers (Shandoka's original buildings: Tiers A–D). A middle-income household can enter the system only through the newer, higher-rent properties.</w:t>
      </w:r>
      <w:r>
        <w:rPr>
          <w:b/>
          <w:bCs/>
          <w:color w:val="1D5C63"/>
          <w:sz w:val="17"/>
          <w:szCs w:val="17"/>
          <w:vertAlign w:val="superscript"/>
        </w:rPr>
        <w:t xml:space="preserve">6</w:t>
      </w:r>
    </w:p>
    <w:p>
      <w:pPr>
        <w:spacing w:after="150" w:before="330"/>
      </w:pPr>
      <w:r>
        <w:rPr>
          <w:b/>
          <w:bCs/>
          <w:color w:val="1D5C63"/>
          <w:sz w:val="30"/>
          <w:szCs w:val="30"/>
        </w:rPr>
        <w:t xml:space="preserve">4. Affordability analysis</w:t>
      </w:r>
    </w:p>
    <w:p>
      <w:pPr>
        <w:spacing w:after="170" w:line="296" w:lineRule="auto"/>
      </w:pPr>
      <w:r>
        <w:rPr>
          <w:color w:val="22303C"/>
          <w:sz w:val="21"/>
          <w:szCs w:val="21"/>
        </w:rPr>
        <w:t xml:space="preserve">Affordability begins with wages. Exhibit 2 compares the rent affordable at 30% of income</w:t>
      </w:r>
      <w:r>
        <w:rPr>
          <w:b/>
          <w:bCs/>
          <w:color w:val="1D5C63"/>
          <w:sz w:val="17"/>
          <w:szCs w:val="17"/>
          <w:vertAlign w:val="superscript"/>
        </w:rPr>
        <w:t xml:space="preserve">11</w:t>
      </w:r>
      <w:r>
        <w:rPr>
          <w:color w:val="22303C"/>
          <w:sz w:val="21"/>
          <w:szCs w:val="21"/>
        </w:rPr>
        <w:t xml:space="preserve"> for average earners in the Region's principal occupations</w:t>
      </w:r>
      <w:r>
        <w:rPr>
          <w:b/>
          <w:bCs/>
          <w:color w:val="1D5C63"/>
          <w:sz w:val="17"/>
          <w:szCs w:val="17"/>
          <w:vertAlign w:val="superscript"/>
        </w:rPr>
        <w:t xml:space="preserve">7</w:t>
      </w:r>
      <w:r>
        <w:rPr>
          <w:color w:val="22303C"/>
          <w:sz w:val="21"/>
          <w:szCs w:val="21"/>
        </w:rPr>
        <w:t xml:space="preserve"> with the two best-documented rent benchmarks.</w:t>
      </w:r>
      <w:r>
        <w:rPr>
          <w:b/>
          <w:bCs/>
          <w:color w:val="1D5C63"/>
          <w:sz w:val="17"/>
          <w:szCs w:val="17"/>
          <w:vertAlign w:val="superscript"/>
        </w:rPr>
        <w:t xml:space="preserve">9,10</w:t>
      </w:r>
    </w:p>
    <w:p>
      <w:pPr>
        <w:spacing w:after="50" w:before="11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90925"/>
                    </a:xfrm>
                    <a:prstGeom prst="rect">
                      <a:avLst/>
                    </a:prstGeom>
                  </pic:spPr>
                </pic:pic>
              </a:graphicData>
            </a:graphic>
          </wp:inline>
        </w:drawing>
      </w:r>
    </w:p>
    <w:p>
      <w:pPr>
        <w:spacing w:after="230" w:line="296" w:lineRule="auto"/>
      </w:pPr>
      <w:r>
        <w:rPr>
          <w:b/>
          <w:bCs/>
          <w:color w:val="51606D"/>
          <w:sz w:val="19"/>
          <w:szCs w:val="19"/>
        </w:rPr>
        <w:t xml:space="preserve">Exhibit 2.</w:t>
      </w:r>
      <w:r>
        <w:rPr>
          <w:color w:val="51606D"/>
          <w:sz w:val="19"/>
          <w:szCs w:val="19"/>
        </w:rPr>
        <w:t xml:space="preserve"> Wages: U.S. Bureau of Labor Statistics QCEW, San Miguel County, 2024 annual averages.</w:t>
      </w:r>
      <w:r>
        <w:rPr>
          <w:b/>
          <w:bCs/>
          <w:color w:val="1D5C63"/>
          <w:sz w:val="17"/>
          <w:szCs w:val="17"/>
          <w:vertAlign w:val="superscript"/>
        </w:rPr>
        <w:t xml:space="preserve">7</w:t>
      </w:r>
      <w:r>
        <w:rPr>
          <w:color w:val="51606D"/>
          <w:sz w:val="19"/>
          <w:szCs w:val="19"/>
        </w:rPr>
        <w:t xml:space="preserve"> Market median: 2024 regional household survey.</w:t>
      </w:r>
      <w:r>
        <w:rPr>
          <w:b/>
          <w:bCs/>
          <w:color w:val="1D5C63"/>
          <w:sz w:val="17"/>
          <w:szCs w:val="17"/>
          <w:vertAlign w:val="superscript"/>
        </w:rPr>
        <w:t xml:space="preserve">9</w:t>
      </w:r>
      <w:r>
        <w:rPr>
          <w:color w:val="51606D"/>
          <w:sz w:val="19"/>
          <w:szCs w:val="19"/>
        </w:rPr>
        <w:t xml:space="preserve"> Telluride median: U.S. Census ACS 2020–2024 (±$359).</w:t>
      </w:r>
      <w:r>
        <w:rPr>
          <w:b/>
          <w:bCs/>
          <w:color w:val="1D5C63"/>
          <w:sz w:val="17"/>
          <w:szCs w:val="17"/>
          <w:vertAlign w:val="superscript"/>
        </w:rPr>
        <w:t xml:space="preserve">10</w:t>
      </w:r>
    </w:p>
    <w:p>
      <w:pPr>
        <w:spacing w:after="170" w:line="296" w:lineRule="auto"/>
      </w:pPr>
      <w:r>
        <w:rPr>
          <w:color w:val="22303C"/>
          <w:sz w:val="21"/>
          <w:szCs w:val="21"/>
        </w:rPr>
        <w:t xml:space="preserve">A single earner in the Region's two largest sectors — accommodation/food service (1,532 jobs) and ski/recreation (856 jobs)</w:t>
      </w:r>
      <w:r>
        <w:rPr>
          <w:b/>
          <w:bCs/>
          <w:color w:val="1D5C63"/>
          <w:sz w:val="17"/>
          <w:szCs w:val="17"/>
          <w:vertAlign w:val="superscript"/>
        </w:rPr>
        <w:t xml:space="preserve">8</w:t>
      </w:r>
      <w:r>
        <w:rPr>
          <w:color w:val="22303C"/>
          <w:sz w:val="21"/>
          <w:szCs w:val="21"/>
        </w:rPr>
        <w:t xml:space="preserve"> — cannot afford the median market rental without additional earners in the household. Census data extends the finding: more than half of county renter households pay over 30% of income in rent, and roughly one-third pay over half.</w:t>
      </w:r>
      <w:r>
        <w:rPr>
          <w:b/>
          <w:bCs/>
          <w:color w:val="1D5C63"/>
          <w:sz w:val="17"/>
          <w:szCs w:val="17"/>
          <w:vertAlign w:val="superscript"/>
        </w:rPr>
        <w:t xml:space="preserve">12</w:t>
      </w:r>
    </w:p>
    <w:p>
      <w:pPr>
        <w:spacing w:after="170" w:line="296" w:lineRule="auto"/>
      </w:pPr>
      <w:r>
        <w:rPr>
          <w:b/>
          <w:bCs/>
          <w:color w:val="22303C"/>
          <w:sz w:val="21"/>
          <w:szCs w:val="21"/>
        </w:rPr>
        <w:t xml:space="preserve">Implication.</w:t>
      </w:r>
      <w:r>
        <w:rPr>
          <w:color w:val="22303C"/>
          <w:sz w:val="21"/>
          <w:szCs w:val="21"/>
        </w:rPr>
        <w:t xml:space="preserve"> The affordability gap is structural, not marginal. It cannot be closed from the wage side by any plausible single-employer action, which places the policy weight on the price, size, and quantity of restricted housing.</w:t>
      </w:r>
    </w:p>
    <w:p>
      <w:pPr>
        <w:spacing w:after="150" w:before="330"/>
      </w:pPr>
      <w:r>
        <w:rPr>
          <w:b/>
          <w:bCs/>
          <w:color w:val="1D5C63"/>
          <w:sz w:val="30"/>
          <w:szCs w:val="30"/>
        </w:rPr>
        <w:t xml:space="preserve">5. Demand analysis</w:t>
      </w:r>
    </w:p>
    <w:p>
      <w:pPr>
        <w:spacing w:after="170" w:line="296" w:lineRule="auto"/>
      </w:pPr>
      <w:r>
        <w:rPr>
          <w:color w:val="22303C"/>
          <w:sz w:val="21"/>
          <w:szCs w:val="21"/>
        </w:rPr>
        <w:t xml:space="preserve">None of the three governments maintains systematic vacancy, waitlist, or application records.</w:t>
      </w:r>
      <w:r>
        <w:rPr>
          <w:b/>
          <w:bCs/>
          <w:color w:val="1D5C63"/>
          <w:sz w:val="17"/>
          <w:szCs w:val="17"/>
          <w:vertAlign w:val="superscript"/>
        </w:rPr>
        <w:t xml:space="preserve">13</w:t>
      </w:r>
      <w:r>
        <w:rPr>
          <w:color w:val="22303C"/>
          <w:sz w:val="21"/>
          <w:szCs w:val="21"/>
        </w:rPr>
        <w:t xml:space="preserve"> The demand evidence therefore rests on discrete public events — which are, however, unusually informative, because they occurred at three distinct price points.</w:t>
      </w:r>
    </w:p>
    <w:p>
      <w:pPr>
        <w:spacing w:after="50" w:before="110"/>
        <w:jc w:val="center"/>
      </w:pPr>
      <w:r>
        <w:drawing>
          <wp:inline distT="0" distB="0" distL="0" distR="0">
            <wp:extent cx="5905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30" w:line="296" w:lineRule="auto"/>
      </w:pPr>
      <w:r>
        <w:rPr>
          <w:b/>
          <w:bCs/>
          <w:color w:val="51606D"/>
          <w:sz w:val="19"/>
          <w:szCs w:val="19"/>
        </w:rPr>
        <w:t xml:space="preserve">Exhibit 3.</w:t>
      </w:r>
      <w:r>
        <w:rPr>
          <w:color w:val="51606D"/>
          <w:sz w:val="19"/>
          <w:szCs w:val="19"/>
        </w:rPr>
        <w:t xml:space="preserve"> Voodoo: Town lottery records, August 2024.</w:t>
      </w:r>
      <w:r>
        <w:rPr>
          <w:b/>
          <w:bCs/>
          <w:color w:val="1D5C63"/>
          <w:sz w:val="17"/>
          <w:szCs w:val="17"/>
          <w:vertAlign w:val="superscript"/>
        </w:rPr>
        <w:t xml:space="preserve">17</w:t>
      </w:r>
      <w:r>
        <w:rPr>
          <w:color w:val="51606D"/>
          <w:sz w:val="19"/>
          <w:szCs w:val="19"/>
        </w:rPr>
        <w:t xml:space="preserve"> Ownership lottery: SMRHA certified results, April 2026.</w:t>
      </w:r>
      <w:r>
        <w:rPr>
          <w:b/>
          <w:bCs/>
          <w:color w:val="1D5C63"/>
          <w:sz w:val="17"/>
          <w:szCs w:val="17"/>
          <w:vertAlign w:val="superscript"/>
        </w:rPr>
        <w:t xml:space="preserve">16</w:t>
      </w:r>
      <w:r>
        <w:rPr>
          <w:color w:val="51606D"/>
          <w:sz w:val="19"/>
          <w:szCs w:val="19"/>
        </w:rPr>
        <w:t xml:space="preserve"> Village Court comparison: MVHA records.</w:t>
      </w:r>
      <w:r>
        <w:rPr>
          <w:b/>
          <w:bCs/>
          <w:color w:val="1D5C63"/>
          <w:sz w:val="17"/>
          <w:szCs w:val="17"/>
          <w:vertAlign w:val="superscript"/>
        </w:rPr>
        <w:t xml:space="preserve">14,15</w:t>
      </w:r>
    </w:p>
    <w:p>
      <w:pPr>
        <w:spacing w:after="170" w:line="296" w:lineRule="auto"/>
      </w:pPr>
      <w:r>
        <w:rPr>
          <w:color w:val="22303C"/>
          <w:sz w:val="21"/>
          <w:szCs w:val="21"/>
        </w:rPr>
        <w:t xml:space="preserve">The pattern is consistent: demand is deep at below-market price points and nearly exhausted at the 110–170% AMI rents at which the newest public supply was introduced.</w:t>
      </w:r>
      <w:r>
        <w:rPr>
          <w:b/>
          <w:bCs/>
          <w:color w:val="1D5C63"/>
          <w:sz w:val="17"/>
          <w:szCs w:val="17"/>
          <w:vertAlign w:val="superscript"/>
        </w:rPr>
        <w:t xml:space="preserve">19</w:t>
      </w:r>
      <w:r>
        <w:rPr>
          <w:color w:val="22303C"/>
          <w:sz w:val="21"/>
          <w:szCs w:val="21"/>
        </w:rPr>
        <w:t xml:space="preserve"> The December 2024 disposition of the Voodoo project's final five units — eligibility requirements reduced and units offered first-come, first-served — confirms the finding from the Town's own records.</w:t>
      </w:r>
      <w:r>
        <w:rPr>
          <w:b/>
          <w:bCs/>
          <w:color w:val="1D5C63"/>
          <w:sz w:val="17"/>
          <w:szCs w:val="17"/>
          <w:vertAlign w:val="superscript"/>
        </w:rPr>
        <w:t xml:space="preserve">18</w:t>
      </w:r>
    </w:p>
    <w:p>
      <w:pPr>
        <w:spacing w:after="110" w:before="230"/>
      </w:pPr>
      <w:r>
        <w:rPr>
          <w:b/>
          <w:bCs/>
          <w:color w:val="22303C"/>
          <w:sz w:val="24"/>
          <w:szCs w:val="24"/>
        </w:rPr>
        <w:t xml:space="preserve">5.1 The January 2025 rent conversion</w:t>
      </w:r>
    </w:p>
    <w:p>
      <w:pPr>
        <w:spacing w:after="170" w:line="296" w:lineRule="auto"/>
      </w:pPr>
      <w:r>
        <w:rPr>
          <w:color w:val="22303C"/>
          <w:sz w:val="21"/>
          <w:szCs w:val="21"/>
        </w:rPr>
        <w:t xml:space="preserve">The Town's conversion of its 251-unit portfolio to income-based rents in January 2025 produced a natural experiment in price sensitivity:</w:t>
      </w:r>
    </w:p>
    <w:p>
      <w:pPr>
        <w:spacing w:after="50" w:before="110"/>
        <w:jc w:val="center"/>
      </w:pPr>
      <w:r>
        <w:drawing>
          <wp:inline distT="0" distB="0" distL="0" distR="0">
            <wp:extent cx="5905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24150"/>
                    </a:xfrm>
                    <a:prstGeom prst="rect">
                      <a:avLst/>
                    </a:prstGeom>
                  </pic:spPr>
                </pic:pic>
              </a:graphicData>
            </a:graphic>
          </wp:inline>
        </w:drawing>
      </w:r>
    </w:p>
    <w:p>
      <w:pPr>
        <w:spacing w:after="230" w:line="296" w:lineRule="auto"/>
      </w:pPr>
      <w:r>
        <w:rPr>
          <w:b/>
          <w:bCs/>
          <w:color w:val="51606D"/>
          <w:sz w:val="19"/>
          <w:szCs w:val="19"/>
        </w:rPr>
        <w:t xml:space="preserve">Exhibit 4.</w:t>
      </w:r>
      <w:r>
        <w:rPr>
          <w:color w:val="51606D"/>
          <w:sz w:val="19"/>
          <w:szCs w:val="19"/>
        </w:rPr>
        <w:t xml:space="preserve"> Renewal outcomes as reported April 2026.</w:t>
      </w:r>
      <w:r>
        <w:rPr>
          <w:b/>
          <w:bCs/>
          <w:color w:val="1D5C63"/>
          <w:sz w:val="17"/>
          <w:szCs w:val="17"/>
          <w:vertAlign w:val="superscript"/>
        </w:rPr>
        <w:t xml:space="preserve">20</w:t>
      </w:r>
    </w:p>
    <w:p>
      <w:pPr>
        <w:spacing w:after="170" w:line="296" w:lineRule="auto"/>
      </w:pPr>
      <w:r>
        <w:rPr>
          <w:color w:val="22303C"/>
          <w:sz w:val="21"/>
          <w:szCs w:val="21"/>
        </w:rPr>
        <w:t xml:space="preserve">By April 2026, 49 of 201 units stood vacant (approximately 24%), roughly 15 of them held for renovation.</w:t>
      </w:r>
      <w:r>
        <w:rPr>
          <w:b/>
          <w:bCs/>
          <w:color w:val="1D5C63"/>
          <w:sz w:val="17"/>
          <w:szCs w:val="17"/>
          <w:vertAlign w:val="superscript"/>
        </w:rPr>
        <w:t xml:space="preserve">21</w:t>
      </w:r>
      <w:r>
        <w:rPr>
          <w:color w:val="22303C"/>
          <w:sz w:val="21"/>
          <w:szCs w:val="21"/>
        </w:rPr>
        <w:t xml:space="preserve"> The Town's housing director stated publicly that the vacancies arose “not because of a lack of demand.”</w:t>
      </w:r>
      <w:r>
        <w:rPr>
          <w:b/>
          <w:bCs/>
          <w:color w:val="1D5C63"/>
          <w:sz w:val="17"/>
          <w:szCs w:val="17"/>
          <w:vertAlign w:val="superscript"/>
        </w:rPr>
        <w:t xml:space="preserve">22</w:t>
      </w:r>
      <w:r>
        <w:rPr>
          <w:color w:val="22303C"/>
          <w:sz w:val="21"/>
          <w:szCs w:val="21"/>
        </w:rPr>
        <w:t xml:space="preserve"> The Town Council subsequently reduced the rent multipliers effective January 2026, with projected tenant savings of $100–$400 per month.</w:t>
      </w:r>
      <w:r>
        <w:rPr>
          <w:b/>
          <w:bCs/>
          <w:color w:val="1D5C63"/>
          <w:sz w:val="17"/>
          <w:szCs w:val="17"/>
          <w:vertAlign w:val="superscript"/>
        </w:rPr>
        <w:t xml:space="preserve">23</w:t>
      </w:r>
    </w:p>
    <w:p>
      <w:pPr>
        <w:spacing w:after="170" w:line="296" w:lineRule="auto"/>
      </w:pPr>
      <w:r>
        <w:rPr>
          <w:b/>
          <w:bCs/>
          <w:color w:val="22303C"/>
          <w:sz w:val="21"/>
          <w:szCs w:val="21"/>
        </w:rPr>
        <w:t xml:space="preserve">Implication.</w:t>
      </w:r>
      <w:r>
        <w:rPr>
          <w:color w:val="22303C"/>
          <w:sz w:val="21"/>
          <w:szCs w:val="21"/>
        </w:rPr>
        <w:t xml:space="preserve"> The Region's shortage is specifically of housing priced at or below approximately 100% of AMI, concentrated in smaller units. Demand for product priced above approximately 120% of AMI has been tested twice by the market and found thin.</w:t>
      </w:r>
    </w:p>
    <w:p>
      <w:pPr>
        <w:spacing w:after="110" w:before="230"/>
      </w:pPr>
      <w:r>
        <w:rPr>
          <w:b/>
          <w:bCs/>
          <w:color w:val="22303C"/>
          <w:sz w:val="24"/>
          <w:szCs w:val="24"/>
        </w:rPr>
        <w:t xml:space="preserve">5.2 Two ownership experiments confirm the design rules</w:t>
      </w:r>
    </w:p>
    <w:p>
      <w:pPr>
        <w:spacing w:after="170" w:line="296" w:lineRule="auto"/>
      </w:pPr>
      <w:r>
        <w:rPr>
          <w:color w:val="22303C"/>
          <w:sz w:val="21"/>
          <w:szCs w:val="21"/>
        </w:rPr>
        <w:t xml:space="preserve">The Region has now run its ownership experiment in both directions. </w:t>
      </w:r>
      <w:r>
        <w:rPr>
          <w:b/>
          <w:bCs/>
          <w:color w:val="22303C"/>
          <w:sz w:val="21"/>
          <w:szCs w:val="21"/>
        </w:rPr>
        <w:t xml:space="preserve">Meadowlark</w:t>
      </w:r>
      <w:r>
        <w:rPr>
          <w:color w:val="22303C"/>
          <w:sz w:val="21"/>
          <w:szCs w:val="21"/>
        </w:rPr>
        <w:t xml:space="preserve"> in Mountain Village (29 for-sale units, completed October 2024) sold 28 of 29 units within two months.</w:t>
      </w:r>
      <w:r>
        <w:rPr>
          <w:b/>
          <w:bCs/>
          <w:color w:val="1D5C63"/>
          <w:sz w:val="17"/>
          <w:szCs w:val="17"/>
          <w:vertAlign w:val="superscript"/>
        </w:rPr>
        <w:t xml:space="preserve">56</w:t>
      </w:r>
      <w:r>
        <w:rPr>
          <w:color w:val="22303C"/>
          <w:sz w:val="21"/>
          <w:szCs w:val="21"/>
        </w:rPr>
        <w:t xml:space="preserve"> Its deed restriction has </w:t>
      </w:r>
      <w:r>
        <w:rPr>
          <w:b/>
          <w:bCs/>
          <w:color w:val="22303C"/>
          <w:sz w:val="21"/>
          <w:szCs w:val="21"/>
        </w:rPr>
        <w:t xml:space="preserve">no income limits</w:t>
      </w:r>
      <w:r>
        <w:rPr>
          <w:color w:val="22303C"/>
          <w:sz w:val="21"/>
          <w:szCs w:val="21"/>
        </w:rPr>
        <w:t xml:space="preserve"> — only a Telluride R-1 employment requirement and a 4% annual appreciation cap — so the buyer pool was every worker in the school district.</w:t>
      </w:r>
      <w:r>
        <w:rPr>
          <w:b/>
          <w:bCs/>
          <w:color w:val="1D5C63"/>
          <w:sz w:val="17"/>
          <w:szCs w:val="17"/>
          <w:vertAlign w:val="superscript"/>
        </w:rPr>
        <w:t xml:space="preserve">57</w:t>
      </w:r>
    </w:p>
    <w:p>
      <w:pPr>
        <w:spacing w:after="170" w:line="296" w:lineRule="auto"/>
      </w:pPr>
      <w:r>
        <w:rPr>
          <w:b/>
          <w:bCs/>
          <w:color w:val="22303C"/>
          <w:sz w:val="21"/>
          <w:szCs w:val="21"/>
        </w:rPr>
        <w:t xml:space="preserve">Pinion Park</w:t>
      </w:r>
      <w:r>
        <w:rPr>
          <w:color w:val="22303C"/>
          <w:sz w:val="21"/>
          <w:szCs w:val="21"/>
        </w:rPr>
        <w:t xml:space="preserve"> in Norwood (24 homes, a Rural Homes pilot) shows the opposite outcome: five homes listed at $262,895–$383,244 have sat unsold for five to twenty months, and the housing authority has received exactly one qualification application.</w:t>
      </w:r>
      <w:r>
        <w:rPr>
          <w:b/>
          <w:bCs/>
          <w:color w:val="1D5C63"/>
          <w:sz w:val="17"/>
          <w:szCs w:val="17"/>
          <w:vertAlign w:val="superscript"/>
        </w:rPr>
        <w:t xml:space="preserve">58,59</w:t>
      </w:r>
      <w:r>
        <w:rPr>
          <w:color w:val="22303C"/>
          <w:sz w:val="21"/>
          <w:szCs w:val="21"/>
        </w:rPr>
        <w:t xml:space="preserve"> The covenants cap buyer incomes at 120% of AMI (80% on some units) while the prices require incomes near those caps — what a county commissioner called the search for a “unicorn buyer.” The original sales worked only because first buyers received a one-time 2.5%, no-down-payment mortgage product that resale buyers cannot get: the affordability lived in the financing, not the price.</w:t>
      </w:r>
    </w:p>
    <w:p>
      <w:pPr>
        <w:spacing w:after="170" w:line="296" w:lineRule="auto"/>
      </w:pPr>
      <w:r>
        <w:rPr>
          <w:b/>
          <w:bCs/>
          <w:color w:val="22303C"/>
          <w:sz w:val="21"/>
          <w:szCs w:val="21"/>
        </w:rPr>
        <w:t xml:space="preserve">Implication.</w:t>
      </w:r>
      <w:r>
        <w:rPr>
          <w:color w:val="22303C"/>
          <w:sz w:val="21"/>
          <w:szCs w:val="21"/>
        </w:rPr>
        <w:t xml:space="preserve"> Eligibility design determines whether units sell, independent of price. Employment-based restrictions with wide income windows work; income-capped ownership at prices near the cap fails; and affordability that depends on a subsidized mortgage product is fragile at every resale.</w:t>
      </w:r>
    </w:p>
    <w:p>
      <w:pPr>
        <w:spacing w:after="110" w:before="230"/>
      </w:pPr>
      <w:r>
        <w:rPr>
          <w:b/>
          <w:bCs/>
          <w:color w:val="22303C"/>
          <w:sz w:val="24"/>
          <w:szCs w:val="24"/>
        </w:rPr>
        <w:t xml:space="preserve">5.3 Sizing the need-catching target</w:t>
      </w:r>
    </w:p>
    <w:p>
      <w:pPr>
        <w:spacing w:after="170" w:line="296" w:lineRule="auto"/>
      </w:pPr>
      <w:r>
        <w:rPr>
          <w:color w:val="22303C"/>
          <w:sz w:val="21"/>
          <w:szCs w:val="21"/>
        </w:rPr>
        <w:t xml:space="preserve">Under the Section 2 lens, the program target is finite and can be stated from the record: the approximately 182 units of documented existing-resident need,</w:t>
      </w:r>
      <w:r>
        <w:rPr>
          <w:b/>
          <w:bCs/>
          <w:color w:val="1D5C63"/>
          <w:sz w:val="17"/>
          <w:szCs w:val="17"/>
          <w:vertAlign w:val="superscript"/>
        </w:rPr>
        <w:t xml:space="preserve">47</w:t>
      </w:r>
      <w:r>
        <w:rPr>
          <w:color w:val="22303C"/>
          <w:sz w:val="21"/>
          <w:szCs w:val="21"/>
        </w:rPr>
        <w:t xml:space="preserve"> plus the share of current in-commuters the Region elects to repatriate (a policy tranche of roughly 100–200 beds, to be refined by the demand survey of Recommendation R7), less the beds recoverable by repricing the existing vacant public stock (approximately 70). The result is a program on the order of </w:t>
      </w:r>
      <w:r>
        <w:rPr>
          <w:b/>
          <w:bCs/>
          <w:color w:val="22303C"/>
          <w:sz w:val="21"/>
          <w:szCs w:val="21"/>
        </w:rPr>
        <w:t xml:space="preserve">250–400 beds, published annually with a defined end state.</w:t>
      </w:r>
      <w:r>
        <w:rPr>
          <w:b/>
          <w:bCs/>
          <w:color w:val="1D5C63"/>
          <w:sz w:val="17"/>
          <w:szCs w:val="17"/>
          <w:vertAlign w:val="superscript"/>
        </w:rPr>
        <w:t xml:space="preserve">79</w:t>
      </w:r>
      <w:r>
        <w:rPr>
          <w:color w:val="22303C"/>
          <w:sz w:val="21"/>
          <w:szCs w:val="21"/>
        </w:rPr>
        <w:t xml:space="preserve"> This is the number the balance of this report is designed to deliver at the lowest public cost.</w:t>
      </w:r>
    </w:p>
    <w:p>
      <w:pPr>
        <w:spacing w:after="150" w:before="330"/>
      </w:pPr>
      <w:r>
        <w:rPr>
          <w:b/>
          <w:bCs/>
          <w:color w:val="1D5C63"/>
          <w:sz w:val="30"/>
          <w:szCs w:val="30"/>
        </w:rPr>
        <w:t xml:space="preserve">6. Cost of delivery</w:t>
      </w:r>
    </w:p>
    <w:p>
      <w:pPr>
        <w:spacing w:after="170" w:line="296" w:lineRule="auto"/>
      </w:pPr>
      <w:r>
        <w:rPr>
          <w:color w:val="22303C"/>
          <w:sz w:val="21"/>
          <w:szCs w:val="21"/>
        </w:rPr>
        <w:t xml:space="preserve">A below-market rent is not inexpensive housing; it is expensive housing in which the public pays the difference. The measure used here is straightforward: the share of a unit's delivery cost that its rent stream can finance, with the remainder constituting the public subsidy.</w:t>
      </w:r>
      <w:r>
        <w:rPr>
          <w:b/>
          <w:bCs/>
          <w:color w:val="1D5C63"/>
          <w:sz w:val="17"/>
          <w:szCs w:val="17"/>
          <w:vertAlign w:val="superscript"/>
        </w:rPr>
        <w:t xml:space="preserve">24</w:t>
      </w:r>
    </w:p>
    <w:p>
      <w:pPr>
        <w:spacing w:after="50" w:before="11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14750"/>
                    </a:xfrm>
                    <a:prstGeom prst="rect">
                      <a:avLst/>
                    </a:prstGeom>
                  </pic:spPr>
                </pic:pic>
              </a:graphicData>
            </a:graphic>
          </wp:inline>
        </w:drawing>
      </w:r>
    </w:p>
    <w:p>
      <w:pPr>
        <w:spacing w:after="230" w:line="296" w:lineRule="auto"/>
      </w:pPr>
      <w:r>
        <w:rPr>
          <w:b/>
          <w:bCs/>
          <w:color w:val="51606D"/>
          <w:sz w:val="19"/>
          <w:szCs w:val="19"/>
        </w:rPr>
        <w:t xml:space="preserve">Exhibit 5.</w:t>
      </w:r>
      <w:r>
        <w:rPr>
          <w:color w:val="51606D"/>
          <w:sz w:val="19"/>
          <w:szCs w:val="19"/>
        </w:rPr>
        <w:t xml:space="preserve"> Livable Telluride analysis at VooDoo's actual delivery cost and financing terms; 30-year amortization is assumed, which is favorable relative to the actual balloon structure.</w:t>
      </w:r>
      <w:r>
        <w:rPr>
          <w:b/>
          <w:bCs/>
          <w:color w:val="1D5C63"/>
          <w:sz w:val="17"/>
          <w:szCs w:val="17"/>
          <w:vertAlign w:val="superscript"/>
        </w:rPr>
        <w:t xml:space="preserve">24,26</w:t>
      </w:r>
    </w:p>
    <w:p>
      <w:pPr>
        <w:spacing w:after="170" w:line="296" w:lineRule="auto"/>
      </w:pPr>
      <w:r>
        <w:rPr>
          <w:color w:val="22303C"/>
          <w:sz w:val="21"/>
          <w:szCs w:val="21"/>
        </w:rPr>
        <w:t xml:space="preserve">The project's first full year of operation confirms the model's direction. In fiscal 2025, Voodoo collected $872,000 in actual rent against $1,324,338 in debt service and operating costs — an annual funding requirement of approximately $452,000, with rents covering 73 cents of each dollar of debt service. Town budget documents describe the building as fully occupied for the year, although five of its 27 units remained unleased as of mid-December 2024, so early-2025 lease-up vacancy may depress the collected figure. The distinction does not change the conclusion: even at the project's full-occupancy revenue potential of roughly $0.9 million, rents cannot cover its costs — the shortfall is structural. The bonds do not amortize; a $23.05 million balloon falls due in December 2032, and no sinking fund is identified in published budgets. On that structure, the project's cumulative cost reaches approximately $41 million by 2032.</w:t>
      </w:r>
      <w:r>
        <w:rPr>
          <w:b/>
          <w:bCs/>
          <w:color w:val="1D5C63"/>
          <w:sz w:val="17"/>
          <w:szCs w:val="17"/>
          <w:vertAlign w:val="superscript"/>
        </w:rPr>
        <w:t xml:space="preserve">25</w:t>
      </w:r>
    </w:p>
    <w:p>
      <w:pPr>
        <w:spacing w:after="170" w:line="296" w:lineRule="auto"/>
      </w:pPr>
      <w:r>
        <w:rPr>
          <w:color w:val="22303C"/>
          <w:sz w:val="21"/>
          <w:szCs w:val="21"/>
        </w:rPr>
        <w:t xml:space="preserve">The delivery-cost comparison across the Town's two completed projects isolates the controlling variable — construction cost:</w:t>
      </w:r>
    </w:p>
    <w:p>
      <w:pPr>
        <w:spacing w:after="50" w:before="110"/>
        <w:jc w:val="center"/>
      </w:pPr>
      <w:r>
        <w:drawing>
          <wp:inline distT="0" distB="0" distL="0" distR="0">
            <wp:extent cx="5905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24275"/>
                    </a:xfrm>
                    <a:prstGeom prst="rect">
                      <a:avLst/>
                    </a:prstGeom>
                  </pic:spPr>
                </pic:pic>
              </a:graphicData>
            </a:graphic>
          </wp:inline>
        </w:drawing>
      </w:r>
    </w:p>
    <w:p>
      <w:pPr>
        <w:spacing w:after="230" w:line="296" w:lineRule="auto"/>
      </w:pPr>
      <w:r>
        <w:rPr>
          <w:b/>
          <w:bCs/>
          <w:color w:val="51606D"/>
          <w:sz w:val="19"/>
          <w:szCs w:val="19"/>
        </w:rPr>
        <w:t xml:space="preserve">Exhibit 6.</w:t>
      </w:r>
      <w:r>
        <w:rPr>
          <w:color w:val="51606D"/>
          <w:sz w:val="19"/>
          <w:szCs w:val="19"/>
        </w:rPr>
        <w:t xml:space="preserve"> Same method, both completed projects.</w:t>
      </w:r>
      <w:r>
        <w:rPr>
          <w:b/>
          <w:bCs/>
          <w:color w:val="1D5C63"/>
          <w:sz w:val="17"/>
          <w:szCs w:val="17"/>
          <w:vertAlign w:val="superscript"/>
        </w:rPr>
        <w:t xml:space="preserve">24,27</w:t>
      </w:r>
      <w:r>
        <w:rPr>
          <w:color w:val="51606D"/>
          <w:sz w:val="19"/>
          <w:szCs w:val="19"/>
        </w:rPr>
        <w:t xml:space="preserve"> The proposed Shandoka Lot L program (approximately $3.3M per unit) is excluded because its cost includes an approximately 900-space parking garage.</w:t>
      </w:r>
      <w:r>
        <w:rPr>
          <w:b/>
          <w:bCs/>
          <w:color w:val="1D5C63"/>
          <w:sz w:val="17"/>
          <w:szCs w:val="17"/>
          <w:vertAlign w:val="superscript"/>
        </w:rPr>
        <w:t xml:space="preserve">28</w:t>
      </w:r>
    </w:p>
    <w:p>
      <w:pPr>
        <w:spacing w:after="170" w:line="296" w:lineRule="auto"/>
      </w:pPr>
      <w:r>
        <w:rPr>
          <w:color w:val="22303C"/>
          <w:sz w:val="21"/>
          <w:szCs w:val="21"/>
        </w:rPr>
        <w:t xml:space="preserve">Ongoing costs continue for the life of the asset. Benchmarked against the closest mature comparator (Whistler Housing Authority audited statements) and the Town's own actuals, steady-state operations for the 251-unit portfolio approximate $3.3 million per year before reserves;</w:t>
      </w:r>
      <w:r>
        <w:rPr>
          <w:b/>
          <w:bCs/>
          <w:color w:val="1D5C63"/>
          <w:sz w:val="17"/>
          <w:szCs w:val="17"/>
          <w:vertAlign w:val="superscript"/>
        </w:rPr>
        <w:t xml:space="preserve">29</w:t>
      </w:r>
      <w:r>
        <w:rPr>
          <w:color w:val="22303C"/>
          <w:sz w:val="21"/>
          <w:szCs w:val="21"/>
        </w:rPr>
        <w:t xml:space="preserve"> an age-appropriate capital reserve adds $600,000 to $1 million per year;</w:t>
      </w:r>
      <w:r>
        <w:rPr>
          <w:b/>
          <w:bCs/>
          <w:color w:val="1D5C63"/>
          <w:sz w:val="17"/>
          <w:szCs w:val="17"/>
          <w:vertAlign w:val="superscript"/>
        </w:rPr>
        <w:t xml:space="preserve">30</w:t>
      </w:r>
      <w:r>
        <w:rPr>
          <w:color w:val="22303C"/>
          <w:sz w:val="21"/>
          <w:szCs w:val="21"/>
        </w:rPr>
        <w:t xml:space="preserve"> scheduled balloon maturities total $23.05 million (2032) and $6.17 million (by 2040);</w:t>
      </w:r>
      <w:r>
        <w:rPr>
          <w:b/>
          <w:bCs/>
          <w:color w:val="1D5C63"/>
          <w:sz w:val="17"/>
          <w:szCs w:val="17"/>
          <w:vertAlign w:val="superscript"/>
        </w:rPr>
        <w:t xml:space="preserve">31</w:t>
      </w:r>
      <w:r>
        <w:rPr>
          <w:color w:val="22303C"/>
          <w:sz w:val="21"/>
          <w:szCs w:val="21"/>
        </w:rPr>
        <w:t xml:space="preserve"> and the Town's housing operation already carries a $13.76 million annual budget with more than ten staff.</w:t>
      </w:r>
      <w:r>
        <w:rPr>
          <w:b/>
          <w:bCs/>
          <w:color w:val="1D5C63"/>
          <w:sz w:val="17"/>
          <w:szCs w:val="17"/>
          <w:vertAlign w:val="superscript"/>
        </w:rPr>
        <w:t xml:space="preserve">32</w:t>
      </w:r>
      <w:r>
        <w:rPr>
          <w:color w:val="22303C"/>
          <w:sz w:val="21"/>
          <w:szCs w:val="21"/>
        </w:rPr>
        <w:t xml:space="preserve"> Administration at program maturity, on the Aspen and Whistler evidence, approximates $2,000–$3,000 per unit per year and does not sunset.</w:t>
      </w:r>
      <w:r>
        <w:rPr>
          <w:b/>
          <w:bCs/>
          <w:color w:val="1D5C63"/>
          <w:sz w:val="17"/>
          <w:szCs w:val="17"/>
          <w:vertAlign w:val="superscript"/>
        </w:rPr>
        <w:t xml:space="preserve">33</w:t>
      </w:r>
    </w:p>
    <w:p>
      <w:pPr>
        <w:spacing w:after="110" w:before="230"/>
      </w:pPr>
      <w:r>
        <w:rPr>
          <w:b/>
          <w:bCs/>
          <w:color w:val="22303C"/>
          <w:sz w:val="24"/>
          <w:szCs w:val="24"/>
        </w:rPr>
        <w:t xml:space="preserve">6.1 Delivery models compared</w:t>
      </w:r>
    </w:p>
    <w:p>
      <w:pPr>
        <w:spacing w:after="170" w:line="296" w:lineRule="auto"/>
      </w:pPr>
      <w:r>
        <w:rPr>
          <w:color w:val="22303C"/>
          <w:sz w:val="21"/>
          <w:szCs w:val="21"/>
        </w:rPr>
        <w:t xml:space="preserve">The Region has now tested six delivery models. Ranked by net public cost per unit or restriction:</w:t>
      </w:r>
    </w:p>
    <w:p>
      <w:pPr>
        <w:pStyle w:val="ListParagraph"/>
        <w:numPr>
          <w:ilvl w:val="0"/>
          <w:numId w:val="1"/>
        </w:numPr>
        <w:spacing w:after="90" w:line="286" w:lineRule="auto"/>
      </w:pPr>
      <w:r>
        <w:rPr>
          <w:b/>
          <w:bCs/>
          <w:color w:val="22303C"/>
          <w:sz w:val="21"/>
          <w:szCs w:val="21"/>
        </w:rPr>
        <w:t xml:space="preserve">Restriction purchase (Vail InDEED): ~$62,000–$68,000.</w:t>
      </w:r>
      <w:r>
        <w:rPr>
          <w:color w:val="22303C"/>
          <w:sz w:val="21"/>
          <w:szCs w:val="21"/>
        </w:rPr>
        <w:t xml:space="preserve"> Proven at 162 units; limited by willing sellers.</w:t>
      </w:r>
      <w:r>
        <w:rPr>
          <w:b/>
          <w:bCs/>
          <w:color w:val="1D5C63"/>
          <w:sz w:val="17"/>
          <w:szCs w:val="17"/>
          <w:vertAlign w:val="superscript"/>
        </w:rPr>
        <w:t xml:space="preserve">34</w:t>
      </w:r>
    </w:p>
    <w:p>
      <w:pPr>
        <w:pStyle w:val="ListParagraph"/>
        <w:numPr>
          <w:ilvl w:val="0"/>
          <w:numId w:val="1"/>
        </w:numPr>
        <w:spacing w:after="90" w:line="286" w:lineRule="auto"/>
      </w:pPr>
      <w:r>
        <w:rPr>
          <w:b/>
          <w:bCs/>
          <w:color w:val="22303C"/>
          <w:sz w:val="21"/>
          <w:szCs w:val="21"/>
        </w:rPr>
        <w:t xml:space="preserve">Meadowlark ownership: ~$137,000 per unit (~$61,000 per bedroom).</w:t>
      </w:r>
      <w:r>
        <w:rPr>
          <w:color w:val="22303C"/>
          <w:sz w:val="21"/>
          <w:szCs w:val="21"/>
        </w:rPr>
        <w:t xml:space="preserve"> 29 units; $20.9M budget, ~$6M town contribution less $1.6M+ recovered from unsubsidized sales to essential organizations; sold out.</w:t>
      </w:r>
      <w:r>
        <w:rPr>
          <w:b/>
          <w:bCs/>
          <w:color w:val="1D5C63"/>
          <w:sz w:val="17"/>
          <w:szCs w:val="17"/>
          <w:vertAlign w:val="superscript"/>
        </w:rPr>
        <w:t xml:space="preserve">57</w:t>
      </w:r>
    </w:p>
    <w:p>
      <w:pPr>
        <w:pStyle w:val="ListParagraph"/>
        <w:numPr>
          <w:ilvl w:val="0"/>
          <w:numId w:val="1"/>
        </w:numPr>
        <w:spacing w:after="90" w:line="286" w:lineRule="auto"/>
      </w:pPr>
      <w:r>
        <w:rPr>
          <w:b/>
          <w:bCs/>
          <w:color w:val="22303C"/>
          <w:sz w:val="21"/>
          <w:szCs w:val="21"/>
        </w:rPr>
        <w:t xml:space="preserve">Village Court Phase 4 rental: ~$4M town cash on $22.6M</w:t>
      </w:r>
      <w:r>
        <w:rPr>
          <w:color w:val="22303C"/>
          <w:sz w:val="21"/>
          <w:szCs w:val="21"/>
        </w:rPr>
        <w:t xml:space="preserve"> (35 units, 88 bedrooms; the balance carried by a $15M lease-purchase and $3M+ in grants).</w:t>
      </w:r>
      <w:r>
        <w:rPr>
          <w:b/>
          <w:bCs/>
          <w:color w:val="1D5C63"/>
          <w:sz w:val="17"/>
          <w:szCs w:val="17"/>
          <w:vertAlign w:val="superscript"/>
        </w:rPr>
        <w:t xml:space="preserve">57</w:t>
      </w:r>
    </w:p>
    <w:p>
      <w:pPr>
        <w:pStyle w:val="ListParagraph"/>
        <w:numPr>
          <w:ilvl w:val="0"/>
          <w:numId w:val="1"/>
        </w:numPr>
        <w:spacing w:after="90" w:line="286" w:lineRule="auto"/>
      </w:pPr>
      <w:r>
        <w:rPr>
          <w:b/>
          <w:bCs/>
          <w:color w:val="22303C"/>
          <w:sz w:val="21"/>
          <w:szCs w:val="21"/>
        </w:rPr>
        <w:t xml:space="preserve">Sunnyside rental: ~$300,000–$500,000 class</w:t>
      </w:r>
      <w:r>
        <w:rPr>
          <w:color w:val="22303C"/>
          <w:sz w:val="21"/>
          <w:szCs w:val="21"/>
        </w:rPr>
        <w:t xml:space="preserve"> (free county land).</w:t>
      </w:r>
      <w:r>
        <w:rPr>
          <w:b/>
          <w:bCs/>
          <w:color w:val="1D5C63"/>
          <w:sz w:val="17"/>
          <w:szCs w:val="17"/>
          <w:vertAlign w:val="superscript"/>
        </w:rPr>
        <w:t xml:space="preserve">27</w:t>
      </w:r>
    </w:p>
    <w:p>
      <w:pPr>
        <w:pStyle w:val="ListParagraph"/>
        <w:numPr>
          <w:ilvl w:val="0"/>
          <w:numId w:val="1"/>
        </w:numPr>
        <w:spacing w:after="90" w:line="286" w:lineRule="auto"/>
      </w:pPr>
      <w:r>
        <w:rPr>
          <w:b/>
          <w:bCs/>
          <w:color w:val="22303C"/>
          <w:sz w:val="21"/>
          <w:szCs w:val="21"/>
        </w:rPr>
        <w:t xml:space="preserve">VooDoo rental: ~$955,000 all-in public cost per unit</w:t>
      </w:r>
      <w:r>
        <w:rPr>
          <w:color w:val="22303C"/>
          <w:sz w:val="21"/>
          <w:szCs w:val="21"/>
        </w:rPr>
        <w:t xml:space="preserve">, with the ongoing shortfall documented above.</w:t>
      </w:r>
      <w:r>
        <w:rPr>
          <w:b/>
          <w:bCs/>
          <w:color w:val="1D5C63"/>
          <w:sz w:val="17"/>
          <w:szCs w:val="17"/>
          <w:vertAlign w:val="superscript"/>
        </w:rPr>
        <w:t xml:space="preserve">25</w:t>
      </w:r>
    </w:p>
    <w:p>
      <w:pPr>
        <w:pStyle w:val="ListParagraph"/>
        <w:numPr>
          <w:ilvl w:val="0"/>
          <w:numId w:val="1"/>
        </w:numPr>
        <w:spacing w:after="90" w:line="286" w:lineRule="auto"/>
      </w:pPr>
      <w:r>
        <w:rPr>
          <w:b/>
          <w:bCs/>
          <w:color w:val="22303C"/>
          <w:sz w:val="21"/>
          <w:szCs w:val="21"/>
        </w:rPr>
        <w:t xml:space="preserve">Shandoka Lot L proposal: ~$3.3 million per unit</w:t>
      </w:r>
      <w:r>
        <w:rPr>
          <w:color w:val="22303C"/>
          <w:sz w:val="21"/>
          <w:szCs w:val="21"/>
        </w:rPr>
        <w:t xml:space="preserve">, garage-burdened.</w:t>
      </w:r>
      <w:r>
        <w:rPr>
          <w:b/>
          <w:bCs/>
          <w:color w:val="1D5C63"/>
          <w:sz w:val="17"/>
          <w:szCs w:val="17"/>
          <w:vertAlign w:val="superscript"/>
        </w:rPr>
        <w:t xml:space="preserve">28</w:t>
      </w:r>
    </w:p>
    <w:p>
      <w:pPr>
        <w:spacing w:after="170" w:line="296" w:lineRule="auto"/>
      </w:pPr>
      <w:r>
        <w:rPr>
          <w:color w:val="22303C"/>
          <w:sz w:val="21"/>
          <w:szCs w:val="21"/>
        </w:rPr>
        <w:t xml:space="preserve">Two design lessons run through the list. First, land cost and construction cost — not operating choices — set the subsidy; projects on free or town-owned land at modest specifications (Meadowlark, Sunnyside) cost the public a fraction of bespoke in-town construction. Second, density spreads the subsidy: Mountain Village's own council concluded it should have built 41 units at Meadowlark rather than 29.</w:t>
      </w:r>
      <w:r>
        <w:rPr>
          <w:b/>
          <w:bCs/>
          <w:color w:val="1D5C63"/>
          <w:sz w:val="17"/>
          <w:szCs w:val="17"/>
          <w:vertAlign w:val="superscript"/>
        </w:rPr>
        <w:t xml:space="preserve">57</w:t>
      </w:r>
    </w:p>
    <w:p>
      <w:pPr>
        <w:spacing w:after="170" w:line="296" w:lineRule="auto"/>
      </w:pPr>
      <w:r>
        <w:rPr>
          <w:b/>
          <w:bCs/>
          <w:color w:val="22303C"/>
          <w:sz w:val="21"/>
          <w:szCs w:val="21"/>
        </w:rPr>
        <w:t xml:space="preserve">Implication.</w:t>
      </w:r>
      <w:r>
        <w:rPr>
          <w:color w:val="22303C"/>
          <w:sz w:val="21"/>
          <w:szCs w:val="21"/>
        </w:rPr>
        <w:t xml:space="preserve"> At current delivery costs, each new below-market unit is a $0.6–$1.0+ million public commitment before its share of regional infrastructure. The restriction-purchase alternative — approximately $62,000–$68,000 per unit in Vail's program</w:t>
      </w:r>
      <w:r>
        <w:rPr>
          <w:b/>
          <w:bCs/>
          <w:color w:val="1D5C63"/>
          <w:sz w:val="17"/>
          <w:szCs w:val="17"/>
          <w:vertAlign w:val="superscript"/>
        </w:rPr>
        <w:t xml:space="preserve">34</w:t>
      </w:r>
      <w:r>
        <w:rPr>
          <w:color w:val="22303C"/>
          <w:sz w:val="21"/>
          <w:szCs w:val="21"/>
        </w:rPr>
        <w:t xml:space="preserve"> — warrants evaluation as the first use of each housing dollar wherever eligible inventory exists.</w:t>
      </w:r>
    </w:p>
    <w:p>
      <w:pPr>
        <w:spacing w:after="150" w:before="330"/>
      </w:pPr>
      <w:r>
        <w:rPr>
          <w:b/>
          <w:bCs/>
          <w:color w:val="1D5C63"/>
          <w:sz w:val="30"/>
          <w:szCs w:val="30"/>
        </w:rPr>
        <w:t xml:space="preserve">7. The return per worker housed</w:t>
      </w:r>
    </w:p>
    <w:p>
      <w:pPr>
        <w:spacing w:after="170" w:line="296" w:lineRule="auto"/>
      </w:pPr>
      <w:r>
        <w:rPr>
          <w:color w:val="22303C"/>
          <w:sz w:val="21"/>
          <w:szCs w:val="21"/>
        </w:rPr>
        <w:t xml:space="preserve">Cost is half of the appraisal; the other half is what a bed returns. Under the need-catching lens, each proposed bed should first pass a threshold test: </w:t>
      </w:r>
      <w:r>
        <w:rPr>
          <w:b/>
          <w:bCs/>
          <w:color w:val="22303C"/>
          <w:sz w:val="21"/>
          <w:szCs w:val="21"/>
        </w:rPr>
        <w:t xml:space="preserve">does it change who fills an existing job, or does it enable a new one?</w:t>
      </w:r>
      <w:r>
        <w:rPr>
          <w:color w:val="22303C"/>
          <w:sz w:val="21"/>
          <w:szCs w:val="21"/>
        </w:rPr>
        <w:t xml:space="preserve"> A bed that moves a commuting or overcrowded worker into stable housing adds essentially no new demand to the Region — the job already exists, the worker's consumption already occurs here, and independently measured home-service employment places workforce households at the bottom of the generation curve (approximately 0.01–0.1 FTE per modest local unit, against roughly one FTE for a large, lightly used second home).</w:t>
      </w:r>
      <w:r>
        <w:rPr>
          <w:b/>
          <w:bCs/>
          <w:color w:val="1D5C63"/>
          <w:sz w:val="17"/>
          <w:szCs w:val="17"/>
          <w:vertAlign w:val="superscript"/>
        </w:rPr>
        <w:t xml:space="preserve">76</w:t>
      </w:r>
      <w:r>
        <w:rPr>
          <w:color w:val="22303C"/>
          <w:sz w:val="21"/>
          <w:szCs w:val="21"/>
        </w:rPr>
        <w:t xml:space="preserve"> A bed that permits a new enterprise to staff up serves the growth objective and should be evaluated under Section 2's election, with its infrastructure obligations stated.</w:t>
      </w:r>
    </w:p>
    <w:p>
      <w:pPr>
        <w:spacing w:after="170" w:line="296" w:lineRule="auto"/>
      </w:pPr>
      <w:r>
        <w:rPr>
          <w:color w:val="22303C"/>
          <w:sz w:val="21"/>
          <w:szCs w:val="21"/>
        </w:rPr>
        <w:t xml:space="preserve">The measurable annual return of housing one existing worker locally comprises: avoided commuting cost (approximately $18,000–$20,000 per year in vehicle costs for a Montrose commuter at standard mileage rates); recovered travel time (approximately 2.5 hours per day); employer turnover and vacancy savings; reduced peak-hour load on the failing gateway intersections; and local participation effects (school enrollment, emergency service volunteers). Stated conservatively, the combined return approximates </w:t>
      </w:r>
      <w:r>
        <w:rPr>
          <w:b/>
          <w:bCs/>
          <w:color w:val="22303C"/>
          <w:sz w:val="21"/>
          <w:szCs w:val="21"/>
        </w:rPr>
        <w:t xml:space="preserve">$25,000–$40,000 per worker per year.</w:t>
      </w:r>
      <w:r>
        <w:rPr>
          <w:b/>
          <w:bCs/>
          <w:color w:val="1D5C63"/>
          <w:sz w:val="17"/>
          <w:szCs w:val="17"/>
          <w:vertAlign w:val="superscript"/>
        </w:rPr>
        <w:t xml:space="preserve">77</w:t>
      </w:r>
      <w:r>
        <w:rPr>
          <w:color w:val="22303C"/>
          <w:sz w:val="21"/>
          <w:szCs w:val="21"/>
        </w:rPr>
        <w:t xml:space="preserve"> This figure functions as the appraisal yardstick: an instrument whose annualized public cost per bed exceeds it makes the community worse off with each bed it fills.</w:t>
      </w:r>
    </w:p>
    <w:p>
      <w:pPr>
        <w:spacing w:after="150" w:before="330"/>
      </w:pPr>
      <w:r>
        <w:rPr>
          <w:b/>
          <w:bCs/>
          <w:color w:val="1D5C63"/>
          <w:sz w:val="30"/>
          <w:szCs w:val="30"/>
        </w:rPr>
        <w:t xml:space="preserve">8. The efficiency frontier</w:t>
      </w:r>
    </w:p>
    <w:p>
      <w:pPr>
        <w:spacing w:after="170" w:line="296" w:lineRule="auto"/>
      </w:pPr>
      <w:r>
        <w:rPr>
          <w:color w:val="22303C"/>
          <w:sz w:val="21"/>
          <w:szCs w:val="21"/>
        </w:rPr>
        <w:t xml:space="preserve">Ranking the Region's demonstrated instruments by net public cost per worker housed per year, against the Section 7 return, produces the following order:</w:t>
      </w:r>
      <w:r>
        <w:rPr>
          <w:b/>
          <w:bCs/>
          <w:color w:val="1D5C63"/>
          <w:sz w:val="17"/>
          <w:szCs w:val="17"/>
          <w:vertAlign w:val="superscript"/>
        </w:rPr>
        <w:t xml:space="preserve">78</w:t>
      </w:r>
    </w:p>
    <w:p>
      <w:pPr>
        <w:spacing w:after="110"/>
      </w:pPr>
    </w:p>
    <w:tbl>
      <w:tblPr>
        <w:tblW w:type="dxa" w:w="8780"/>
        <w:tblBorders>
          <w:top w:val="single" w:color="auto" w:sz="4"/>
          <w:left w:val="single" w:color="auto" w:sz="4"/>
          <w:bottom w:val="single" w:color="auto" w:sz="4"/>
          <w:right w:val="single" w:color="auto" w:sz="4"/>
          <w:insideH w:val="single" w:color="auto" w:sz="4"/>
          <w:insideV w:val="single" w:color="auto" w:sz="4"/>
        </w:tblBorders>
      </w:tblPr>
      <w:tblGrid>
        <w:gridCol w:w="3050"/>
        <w:gridCol w:w="1750"/>
        <w:gridCol w:w="1500"/>
        <w:gridCol w:w="1400"/>
        <w:gridCol w:w="1080"/>
      </w:tblGrid>
      <w:tr>
        <w:tc>
          <w:tcPr>
            <w:tcW w:type="dxa" w:w="30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Instrument</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Public cost per bed</w:t>
            </w:r>
          </w:p>
        </w:tc>
        <w:tc>
          <w:tcPr>
            <w:tcW w:type="dxa" w:w="1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Annualized</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Induced growth</w:t>
            </w:r>
          </w:p>
        </w:tc>
        <w:tc>
          <w:tcPr>
            <w:tcW w:type="dxa" w:w="10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Return vs cost</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 Reprice the ~49 vacant town units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~$0 capital</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~$2–4k/yr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 units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~10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2. Purchase deed restrictions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~$30–35k one-time</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 no construction</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~10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Master-lease existing market units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Ongoing</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~$5–15k/yr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reversible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2–5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Meadowlark-class ownership, public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~$61k/bedroom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Limited</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VCA-4-class modest rental, free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~$45k cash/bedroom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Limited</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 1</w:t>
            </w:r>
          </w:p>
        </w:tc>
      </w:tr>
      <w:tr>
        <w:tc>
          <w:tcPr>
            <w:tcW w:type="dxa" w:w="30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r>
              <w:rPr>
                <w:color w:val="22303C"/>
                <w:sz w:val="19"/>
                <w:szCs w:val="19"/>
              </w:rPr>
              <w:t xml:space="preserve">— break-even threshold —</w:t>
            </w:r>
          </w:p>
        </w:tc>
        <w:tc>
          <w:tcPr>
            <w:tcW w:type="dxa" w:w="17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5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4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08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Voodoo-class bespoke construction</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~$700k+/bed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~$45k+/yr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Full</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Below 1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Lot L-class (garage-burdened)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~$1.5M+/bed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~$100k/yr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Full</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Far below 1 : 1</w:t>
            </w:r>
          </w:p>
        </w:tc>
      </w:tr>
    </w:tbl>
    <w:p>
      <w:pPr>
        <w:spacing w:after="110"/>
      </w:pPr>
    </w:p>
    <w:p>
      <w:pPr>
        <w:spacing w:after="170" w:line="296" w:lineRule="auto"/>
      </w:pPr>
      <w:r>
        <w:rPr>
          <w:color w:val="22303C"/>
          <w:sz w:val="21"/>
          <w:szCs w:val="21"/>
        </w:rPr>
        <w:t xml:space="preserve">Two observations organize the table. First, the top three instruments house the identical worker at roughly 5–20% of construction cost, with no draw on the wastewater plant, the road network, or the construction labor market; under the need-catching lens they are not merely less expensive — they are the only instruments fully consistent with the lens, because they operate within the existing building stock. Second, below the break-even threshold, the annualized public cost of a bed exceeds the entire measurable annual benefit of housing the worker in it (F9). The Region's largest recent investment was made below its own break-even line, which is why the housing budget has grown while the measured deficit has not closed.</w:t>
      </w:r>
    </w:p>
    <w:p>
      <w:pPr>
        <w:spacing w:after="150" w:before="330"/>
      </w:pPr>
      <w:r>
        <w:rPr>
          <w:b/>
          <w:bCs/>
          <w:color w:val="1D5C63"/>
          <w:sz w:val="30"/>
          <w:szCs w:val="30"/>
        </w:rPr>
        <w:t xml:space="preserve">9. Infrastructure capacity assessment</w:t>
      </w:r>
    </w:p>
    <w:p>
      <w:pPr>
        <w:spacing w:after="170" w:line="296" w:lineRule="auto"/>
      </w:pPr>
      <w:r>
        <w:rPr>
          <w:color w:val="22303C"/>
          <w:sz w:val="21"/>
          <w:szCs w:val="21"/>
        </w:rPr>
        <w:t xml:space="preserve">Each additional household draws on four shared systems. Their status, from their own engineering and regulatory records:</w:t>
      </w:r>
    </w:p>
    <w:p>
      <w:pPr>
        <w:spacing w:after="50" w:before="11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57600"/>
                    </a:xfrm>
                    <a:prstGeom prst="rect">
                      <a:avLst/>
                    </a:prstGeom>
                  </pic:spPr>
                </pic:pic>
              </a:graphicData>
            </a:graphic>
          </wp:inline>
        </w:drawing>
      </w:r>
    </w:p>
    <w:p>
      <w:pPr>
        <w:spacing w:after="230" w:line="296" w:lineRule="auto"/>
      </w:pPr>
      <w:r>
        <w:rPr>
          <w:b/>
          <w:bCs/>
          <w:color w:val="51606D"/>
          <w:sz w:val="19"/>
          <w:szCs w:val="19"/>
        </w:rPr>
        <w:t xml:space="preserve">Exhibit 7.</w:t>
      </w:r>
      <w:r>
        <w:rPr>
          <w:color w:val="51606D"/>
          <w:sz w:val="19"/>
          <w:szCs w:val="19"/>
        </w:rPr>
        <w:t xml:space="preserve"> Wastewater: 2017 master plan, EPA compliance records, 2025 Town records.</w:t>
      </w:r>
      <w:r>
        <w:rPr>
          <w:b/>
          <w:bCs/>
          <w:color w:val="1D5C63"/>
          <w:sz w:val="17"/>
          <w:szCs w:val="17"/>
          <w:vertAlign w:val="superscript"/>
        </w:rPr>
        <w:t xml:space="preserve">35</w:t>
      </w:r>
      <w:r>
        <w:rPr>
          <w:color w:val="51606D"/>
          <w:sz w:val="19"/>
          <w:szCs w:val="19"/>
        </w:rPr>
        <w:t xml:space="preserve"> Norwood: SGM engineering studies.</w:t>
      </w:r>
      <w:r>
        <w:rPr>
          <w:b/>
          <w:bCs/>
          <w:color w:val="1D5C63"/>
          <w:sz w:val="17"/>
          <w:szCs w:val="17"/>
          <w:vertAlign w:val="superscript"/>
        </w:rPr>
        <w:t xml:space="preserve">42</w:t>
      </w:r>
      <w:r>
        <w:rPr>
          <w:color w:val="51606D"/>
          <w:sz w:val="19"/>
          <w:szCs w:val="19"/>
        </w:rPr>
        <w:t xml:space="preserve"> Telluride water: Town Water Efficiency Plan.</w:t>
      </w:r>
      <w:r>
        <w:rPr>
          <w:b/>
          <w:bCs/>
          <w:color w:val="1D5C63"/>
          <w:sz w:val="17"/>
          <w:szCs w:val="17"/>
          <w:vertAlign w:val="superscript"/>
        </w:rPr>
        <w:t xml:space="preserve">41</w:t>
      </w:r>
    </w:p>
    <w:p>
      <w:pPr>
        <w:spacing w:after="110" w:before="230"/>
      </w:pPr>
      <w:r>
        <w:rPr>
          <w:b/>
          <w:bCs/>
          <w:color w:val="22303C"/>
          <w:sz w:val="24"/>
          <w:szCs w:val="24"/>
        </w:rPr>
        <w:t xml:space="preserve">9.1 Wastewater</w:t>
      </w:r>
    </w:p>
    <w:p>
      <w:pPr>
        <w:spacing w:after="170" w:line="296" w:lineRule="auto"/>
      </w:pPr>
      <w:r>
        <w:rPr>
          <w:color w:val="22303C"/>
          <w:sz w:val="21"/>
          <w:szCs w:val="21"/>
        </w:rPr>
        <w:t xml:space="preserve">The regional treatment plant serving Telluride, Mountain Village, and adjacent communities is constrained by waste strength rather than flow. It has passed the State's 80% capacity planning trigger; its discharge permit expired in November 2025 and remains in administrative status; and federal compliance records show significant noncompliance in seven of the last thirteen quarters.</w:t>
      </w:r>
      <w:r>
        <w:rPr>
          <w:b/>
          <w:bCs/>
          <w:color w:val="1D5C63"/>
          <w:sz w:val="17"/>
          <w:szCs w:val="17"/>
          <w:vertAlign w:val="superscript"/>
        </w:rPr>
        <w:t xml:space="preserve">35</w:t>
      </w:r>
      <w:r>
        <w:rPr>
          <w:color w:val="22303C"/>
          <w:sz w:val="21"/>
          <w:szCs w:val="21"/>
        </w:rPr>
        <w:t xml:space="preserve"> A 2024 attempt to expand the existing plant was canceled when thirty-percent design pricing exceeded $133 million for approximately 0.2 MGD of additional capacity.</w:t>
      </w:r>
      <w:r>
        <w:rPr>
          <w:b/>
          <w:bCs/>
          <w:color w:val="1D5C63"/>
          <w:sz w:val="17"/>
          <w:szCs w:val="17"/>
          <w:vertAlign w:val="superscript"/>
        </w:rPr>
        <w:t xml:space="preserve">36</w:t>
      </w:r>
      <w:r>
        <w:rPr>
          <w:color w:val="22303C"/>
          <w:sz w:val="21"/>
          <w:szCs w:val="21"/>
        </w:rPr>
        <w:t xml:space="preserve"> The governments have since executed a memorandum of understanding for a new 2.67 MGD regional facility near Ilium, with a new Sewer Authority required by July 1, 2028; its cost has not been published.</w:t>
      </w:r>
      <w:r>
        <w:rPr>
          <w:b/>
          <w:bCs/>
          <w:color w:val="1D5C63"/>
          <w:sz w:val="17"/>
          <w:szCs w:val="17"/>
          <w:vertAlign w:val="superscript"/>
        </w:rPr>
        <w:t xml:space="preserve">37</w:t>
      </w:r>
    </w:p>
    <w:p>
      <w:pPr>
        <w:spacing w:after="170" w:line="296" w:lineRule="auto"/>
      </w:pPr>
      <w:r>
        <w:rPr>
          <w:color w:val="22303C"/>
          <w:sz w:val="21"/>
          <w:szCs w:val="21"/>
        </w:rPr>
        <w:t xml:space="preserve">The deeper constraint is the site itself. The existing plant occupies a 3.24-acre parcel with only about 2.5 usable acres — “restricted expansion space” appears on the towns' own list of challenges — and the rejected retrofit would have bought capacity only through 2047 while rebuilding around a live plant.</w:t>
      </w:r>
      <w:r>
        <w:rPr>
          <w:b/>
          <w:bCs/>
          <w:color w:val="1D5C63"/>
          <w:sz w:val="17"/>
          <w:szCs w:val="17"/>
          <w:vertAlign w:val="superscript"/>
        </w:rPr>
        <w:t xml:space="preserve">61</w:t>
      </w:r>
    </w:p>
    <w:p>
      <w:pPr>
        <w:spacing w:after="110" w:before="230"/>
      </w:pPr>
      <w:r>
        <w:rPr>
          <w:b/>
          <w:bCs/>
          <w:color w:val="22303C"/>
          <w:sz w:val="24"/>
          <w:szCs w:val="24"/>
        </w:rPr>
        <w:t xml:space="preserve">9.2 From gallons to people: how the plant caps growth</w:t>
      </w:r>
    </w:p>
    <w:p>
      <w:pPr>
        <w:spacing w:after="170" w:line="296" w:lineRule="auto"/>
      </w:pPr>
      <w:r>
        <w:rPr>
          <w:color w:val="22303C"/>
          <w:sz w:val="21"/>
          <w:szCs w:val="21"/>
        </w:rPr>
        <w:t xml:space="preserve">Wastewater capacity is the one regional limit that converts directly into a population number, so it is worth showing the arithmetic. Treatment plants are sized two ways: by water volume (millions of gallons per day, MGD) and by waste strength (pounds of BOD per day). In standard planning, each person present in the service area — resident or visitor — contributes roughly </w:t>
      </w:r>
      <w:r>
        <w:rPr>
          <w:b/>
          <w:bCs/>
          <w:color w:val="22303C"/>
          <w:sz w:val="21"/>
          <w:szCs w:val="21"/>
        </w:rPr>
        <w:t xml:space="preserve">70 to 100 gallons per day</w:t>
      </w:r>
      <w:r>
        <w:rPr>
          <w:color w:val="22303C"/>
          <w:sz w:val="21"/>
          <w:szCs w:val="21"/>
        </w:rPr>
        <w:t xml:space="preserve"> once household, lodging, restaurant, and commercial flows are averaged in. A hotel pillow counts like a resident; a restaurant seat or brewery adds waste that is several times household strength per gallon, which is why this plant hit its strength limit first.</w:t>
      </w:r>
      <w:r>
        <w:rPr>
          <w:b/>
          <w:bCs/>
          <w:color w:val="1D5C63"/>
          <w:sz w:val="17"/>
          <w:szCs w:val="17"/>
          <w:vertAlign w:val="superscript"/>
        </w:rPr>
        <w:t xml:space="preserve">60</w:t>
      </w:r>
    </w:p>
    <w:p>
      <w:pPr>
        <w:spacing w:after="170" w:line="296" w:lineRule="auto"/>
      </w:pPr>
      <w:r>
        <w:rPr>
          <w:color w:val="22303C"/>
          <w:sz w:val="21"/>
          <w:szCs w:val="21"/>
        </w:rPr>
        <w:t xml:space="preserve">Apply the conversion. The existing plant's 2.1 MGD rating corresponds to roughly </w:t>
      </w:r>
      <w:r>
        <w:rPr>
          <w:b/>
          <w:bCs/>
          <w:color w:val="22303C"/>
          <w:sz w:val="21"/>
          <w:szCs w:val="21"/>
        </w:rPr>
        <w:t xml:space="preserve">21,000–30,000 people present at peak</w:t>
      </w:r>
      <w:r>
        <w:rPr>
          <w:color w:val="22303C"/>
          <w:sz w:val="21"/>
          <w:szCs w:val="21"/>
        </w:rPr>
        <w:t xml:space="preserve"> — and the towns report festivals push up to 24,000 visitors onto the system on top of residents, which is precisely when the plant strains.</w:t>
      </w:r>
      <w:r>
        <w:rPr>
          <w:b/>
          <w:bCs/>
          <w:color w:val="1D5C63"/>
          <w:sz w:val="17"/>
          <w:szCs w:val="17"/>
          <w:vertAlign w:val="superscript"/>
        </w:rPr>
        <w:t xml:space="preserve">61</w:t>
      </w:r>
      <w:r>
        <w:rPr>
          <w:color w:val="22303C"/>
          <w:sz w:val="21"/>
          <w:szCs w:val="21"/>
        </w:rPr>
        <w:t xml:space="preserve"> The new regional plant is planned at 2.67 MGD: about 27% more volume. Against current peak flows (~1.6 MGD), that is roughly </w:t>
      </w:r>
      <w:r>
        <w:rPr>
          <w:b/>
          <w:bCs/>
          <w:color w:val="22303C"/>
          <w:sz w:val="21"/>
          <w:szCs w:val="21"/>
        </w:rPr>
        <w:t xml:space="preserve">1.0–1.1 MGD of headroom — room for perhaps 10,000–15,000 additional people present at peak, across every use and every jurisdiction the plant serves, for the next generation.</w:t>
      </w:r>
      <w:r>
        <w:rPr>
          <w:b/>
          <w:bCs/>
          <w:color w:val="1D5C63"/>
          <w:sz w:val="17"/>
          <w:szCs w:val="17"/>
          <w:vertAlign w:val="superscript"/>
        </w:rPr>
        <w:t xml:space="preserve">62</w:t>
      </w:r>
    </w:p>
    <w:p>
      <w:pPr>
        <w:spacing w:after="170" w:line="296" w:lineRule="auto"/>
      </w:pPr>
      <w:r>
        <w:rPr>
          <w:color w:val="22303C"/>
          <w:sz w:val="21"/>
          <w:szCs w:val="21"/>
        </w:rPr>
        <w:t xml:space="preserve">Now subtract what is already committed: two five-star hotel projects, the Society Turn program (up to 125 rooms, a hospital, and ~188,000 sq ft of commercial space), 70–100 rental units planned at Ilium, and 121 employee-housing units at Society Turn — all draw from that same headroom before any future proposal is considered. </w:t>
      </w:r>
      <w:r>
        <w:rPr>
          <w:b/>
          <w:bCs/>
          <w:color w:val="22303C"/>
          <w:sz w:val="21"/>
          <w:szCs w:val="21"/>
        </w:rPr>
        <w:t xml:space="preserve">The Sewer Authority's plant-sizing decision, due by July 1, 2028, is therefore not an engineering detail. It is the Region's carrying-capacity decision — the one number that will actually function as a growth ceiling for thirty years — and it deserves to be debated as exactly that.</w:t>
      </w:r>
    </w:p>
    <w:p>
      <w:pPr>
        <w:spacing w:after="110" w:before="230"/>
      </w:pPr>
      <w:r>
        <w:rPr>
          <w:b/>
          <w:bCs/>
          <w:color w:val="22303C"/>
          <w:sz w:val="24"/>
          <w:szCs w:val="24"/>
        </w:rPr>
        <w:t xml:space="preserve">9.3 Transportation</w:t>
      </w:r>
    </w:p>
    <w:p>
      <w:pPr>
        <w:spacing w:after="170" w:line="296" w:lineRule="auto"/>
      </w:pPr>
      <w:r>
        <w:rPr>
          <w:color w:val="22303C"/>
          <w:sz w:val="21"/>
          <w:szCs w:val="21"/>
        </w:rPr>
        <w:t xml:space="preserve">Within town, the Davis Street/Colorado Avenue intersection already operates at LOS F in peak periods (174-second average delays, deteriorating).</w:t>
      </w:r>
      <w:r>
        <w:rPr>
          <w:b/>
          <w:bCs/>
          <w:color w:val="1D5C63"/>
          <w:sz w:val="17"/>
          <w:szCs w:val="17"/>
          <w:vertAlign w:val="superscript"/>
        </w:rPr>
        <w:t xml:space="preserve">38</w:t>
      </w:r>
      <w:r>
        <w:rPr>
          <w:color w:val="22303C"/>
          <w:sz w:val="21"/>
          <w:szCs w:val="21"/>
        </w:rPr>
        <w:t xml:space="preserve"> Regionally, the two intersections connecting the East End to the highway network — the Society Turn roundabout and Last Dollar Road/SH 145 — are projected to fail under background traffic growth alone within the planning horizon; a single large development advances the failure to the current decade, and mitigating either node transfers load to the other.</w:t>
      </w:r>
      <w:r>
        <w:rPr>
          <w:b/>
          <w:bCs/>
          <w:color w:val="1D5C63"/>
          <w:sz w:val="17"/>
          <w:szCs w:val="17"/>
          <w:vertAlign w:val="superscript"/>
        </w:rPr>
        <w:t xml:space="preserve">39</w:t>
      </w:r>
    </w:p>
    <w:p>
      <w:pPr>
        <w:spacing w:after="110" w:before="230"/>
      </w:pPr>
      <w:r>
        <w:rPr>
          <w:b/>
          <w:bCs/>
          <w:color w:val="22303C"/>
          <w:sz w:val="24"/>
          <w:szCs w:val="24"/>
        </w:rPr>
        <w:t xml:space="preserve">9.4 The gondola</w:t>
      </w:r>
    </w:p>
    <w:p>
      <w:pPr>
        <w:spacing w:after="170" w:line="296" w:lineRule="auto"/>
      </w:pPr>
      <w:r>
        <w:rPr>
          <w:color w:val="22303C"/>
          <w:sz w:val="21"/>
          <w:szCs w:val="21"/>
        </w:rPr>
        <w:t xml:space="preserve">The gondola has connected Telluride and Mountain Village since 1996, free to ride, and it is approaching the end of its service life. The agreements that operate and fund it expire December 31, 2027, and replacement is estimated at $120–150 million.</w:t>
      </w:r>
      <w:r>
        <w:rPr>
          <w:b/>
          <w:bCs/>
          <w:color w:val="1D5C63"/>
          <w:sz w:val="17"/>
          <w:szCs w:val="17"/>
          <w:vertAlign w:val="superscript"/>
        </w:rPr>
        <w:t xml:space="preserve">40</w:t>
      </w:r>
    </w:p>
    <w:p>
      <w:pPr>
        <w:spacing w:after="170" w:line="296" w:lineRule="auto"/>
      </w:pPr>
      <w:r>
        <w:rPr>
          <w:color w:val="22303C"/>
          <w:sz w:val="21"/>
          <w:szCs w:val="21"/>
        </w:rPr>
        <w:t xml:space="preserve">In November 2024, voters within the SMART transit district approved Ballot Issue 3A — a new sales tax and mill-levy increase to fund gondola capital improvements </w:t>
      </w:r>
      <w:r>
        <w:rPr>
          <w:b/>
          <w:bCs/>
          <w:color w:val="22303C"/>
          <w:sz w:val="21"/>
          <w:szCs w:val="21"/>
        </w:rPr>
        <w:t xml:space="preserve">and</w:t>
      </w:r>
      <w:r>
        <w:rPr>
          <w:color w:val="22303C"/>
          <w:sz w:val="21"/>
          <w:szCs w:val="21"/>
        </w:rPr>
        <w:t xml:space="preserve"> its operation and maintenance — by 1,956 votes to 1,758. The measure's required TABOR notice projected $8.2 million of revenue in 2025, an increase of $5.2 million over what the district expected without it.</w:t>
      </w:r>
      <w:r>
        <w:rPr>
          <w:b/>
          <w:bCs/>
          <w:color w:val="1D5C63"/>
          <w:sz w:val="17"/>
          <w:szCs w:val="17"/>
          <w:vertAlign w:val="superscript"/>
        </w:rPr>
        <w:t xml:space="preserve">70</w:t>
      </w:r>
    </w:p>
    <w:p>
      <w:pPr>
        <w:spacing w:after="170" w:line="296" w:lineRule="auto"/>
      </w:pPr>
      <w:r>
        <w:rPr>
          <w:color w:val="22303C"/>
          <w:sz w:val="21"/>
          <w:szCs w:val="21"/>
        </w:rPr>
        <w:t xml:space="preserve">That $8.2 million is not available for replacement. The measure funds operations as well as capital, and </w:t>
      </w:r>
      <w:r>
        <w:rPr>
          <w:b/>
          <w:bCs/>
          <w:color w:val="22303C"/>
          <w:sz w:val="21"/>
          <w:szCs w:val="21"/>
        </w:rPr>
        <w:t xml:space="preserve">operations and maintenance consume approximately $5.5 million of it every year — leaving roughly $2.7 million annually toward a $120–150 million replacement.</w:t>
      </w:r>
      <w:r>
        <w:rPr>
          <w:b/>
          <w:bCs/>
          <w:color w:val="1D5C63"/>
          <w:sz w:val="17"/>
          <w:szCs w:val="17"/>
          <w:vertAlign w:val="superscript"/>
        </w:rPr>
        <w:t xml:space="preserve">70</w:t>
      </w:r>
      <w:r>
        <w:rPr>
          <w:color w:val="22303C"/>
          <w:sz w:val="21"/>
          <w:szCs w:val="21"/>
        </w:rPr>
        <w:t xml:space="preserve"> At that rate, accumulating the replacement cost would require </w:t>
      </w:r>
      <w:r>
        <w:rPr>
          <w:b/>
          <w:bCs/>
          <w:color w:val="22303C"/>
          <w:sz w:val="21"/>
          <w:szCs w:val="21"/>
        </w:rPr>
        <w:t xml:space="preserve">44 to 56 years</w:t>
      </w:r>
      <w:r>
        <w:rPr>
          <w:color w:val="22303C"/>
          <w:sz w:val="21"/>
          <w:szCs w:val="21"/>
        </w:rPr>
        <w:t xml:space="preserve">, for a system that reached the end of its design life in approximately thirty. The dedicated stream therefore covers on the order of 2% of the replacement estimate per year, not the 5–7% that the gross revenue figure implies. Exhibit 8 shows the distinction.</w:t>
      </w:r>
    </w:p>
    <w:p>
      <w:pPr>
        <w:spacing w:after="170" w:line="296" w:lineRule="auto"/>
      </w:pPr>
      <w:r>
        <w:rPr>
          <w:color w:val="22303C"/>
          <w:sz w:val="21"/>
          <w:szCs w:val="21"/>
        </w:rPr>
        <w:t xml:space="preserve">The funding stream is also under legal challenge. An election contest argued that the ballot language and TABOR notice were misleading about what voters were being asked to fund; the district court dismissed the contest in August 2025, holding the language was not clearly misleading, and the case is now before the Colorado Court of Appeals, with briefing completed in July 2026 and a decision pending as of this report.</w:t>
      </w:r>
      <w:r>
        <w:rPr>
          <w:b/>
          <w:bCs/>
          <w:color w:val="1D5C63"/>
          <w:sz w:val="17"/>
          <w:szCs w:val="17"/>
          <w:vertAlign w:val="superscript"/>
        </w:rPr>
        <w:t xml:space="preserve">71</w:t>
      </w:r>
      <w:r>
        <w:rPr>
          <w:color w:val="22303C"/>
          <w:sz w:val="21"/>
          <w:szCs w:val="21"/>
        </w:rPr>
        <w:t xml:space="preserve"> Until it resolves, </w:t>
      </w:r>
      <w:r>
        <w:rPr>
          <w:b/>
          <w:bCs/>
          <w:color w:val="22303C"/>
          <w:sz w:val="21"/>
          <w:szCs w:val="21"/>
        </w:rPr>
        <w:t xml:space="preserve">the Region's only dedicated replacement funding rests on an election decided by 198 votes and a pending appellate ruling</w:t>
      </w:r>
      <w:r>
        <w:rPr>
          <w:color w:val="22303C"/>
          <w:sz w:val="21"/>
          <w:szCs w:val="21"/>
        </w:rPr>
        <w:t xml:space="preserve"> — and no contingency funding plan has been published.</w:t>
      </w:r>
    </w:p>
    <w:p>
      <w:pPr>
        <w:spacing w:after="170" w:line="296" w:lineRule="auto"/>
      </w:pPr>
      <w:r>
        <w:rPr>
          <w:color w:val="22303C"/>
          <w:sz w:val="21"/>
          <w:szCs w:val="21"/>
        </w:rPr>
        <w:t xml:space="preserve">Planning continues in parallel. Under the Third Supplement to the 2023 cost-sharing agreement, effective January 1, 2026, the gondola partners — SMART, both towns, San Miguel County, TSG Ski &amp; Golf, and the Mountain Village Owners Association — adopted a </w:t>
      </w:r>
      <w:r>
        <w:rPr>
          <w:b/>
          <w:bCs/>
          <w:color w:val="22303C"/>
          <w:sz w:val="21"/>
          <w:szCs w:val="21"/>
        </w:rPr>
        <w:t xml:space="preserve">$2.46 million development budget for 2026</w:t>
      </w:r>
      <w:r>
        <w:rPr>
          <w:color w:val="22303C"/>
          <w:sz w:val="21"/>
          <w:szCs w:val="21"/>
        </w:rPr>
        <w:t xml:space="preserve">, half carried by SMART and one quarter each by Telluride and the Mountain Village entities, most of it for project-development services.</w:t>
      </w:r>
      <w:r>
        <w:rPr>
          <w:b/>
          <w:bCs/>
          <w:color w:val="1D5C63"/>
          <w:sz w:val="17"/>
          <w:szCs w:val="17"/>
          <w:vertAlign w:val="superscript"/>
        </w:rPr>
        <w:t xml:space="preserve">72</w:t>
      </w:r>
      <w:r>
        <w:rPr>
          <w:color w:val="22303C"/>
          <w:sz w:val="21"/>
          <w:szCs w:val="21"/>
        </w:rPr>
        <w:t xml:space="preserve"> The project as currently envisioned runs six stations, from Oak Street in downtown Telluride to the Mountain Village Center, and SMART issued a request for proposals for a structural condition assessment of the existing system in April 2026.</w:t>
      </w:r>
      <w:r>
        <w:rPr>
          <w:b/>
          <w:bCs/>
          <w:color w:val="1D5C63"/>
          <w:sz w:val="17"/>
          <w:szCs w:val="17"/>
          <w:vertAlign w:val="superscript"/>
        </w:rPr>
        <w:t xml:space="preserve">69</w:t>
      </w:r>
      <w:r>
        <w:rPr>
          <w:color w:val="22303C"/>
          <w:sz w:val="21"/>
          <w:szCs w:val="21"/>
        </w:rPr>
        <w:t xml:space="preserve"> For carrying-capacity purposes the gondola behaves exactly like the sewer plant: a fixed, growth-driven capital item whose replacement bill arrives on its own schedule, and whose funding is at present neither sufficient nor certain.</w:t>
      </w:r>
    </w:p>
    <w:p>
      <w:pPr>
        <w:spacing w:after="50" w:before="11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95650"/>
                    </a:xfrm>
                    <a:prstGeom prst="rect">
                      <a:avLst/>
                    </a:prstGeom>
                  </pic:spPr>
                </pic:pic>
              </a:graphicData>
            </a:graphic>
          </wp:inline>
        </w:drawing>
      </w:r>
    </w:p>
    <w:p>
      <w:pPr>
        <w:spacing w:after="230" w:line="296" w:lineRule="auto"/>
      </w:pPr>
      <w:r>
        <w:rPr>
          <w:b/>
          <w:bCs/>
          <w:color w:val="51606D"/>
          <w:sz w:val="19"/>
          <w:szCs w:val="19"/>
        </w:rPr>
        <w:t xml:space="preserve">Exhibit 8.</w:t>
      </w:r>
      <w:r>
        <w:rPr>
          <w:color w:val="51606D"/>
          <w:sz w:val="19"/>
          <w:szCs w:val="19"/>
        </w:rPr>
        <w:t xml:space="preserve"> Ballot Issue 3A revenue split against the replacement estimate. Sources: TABOR notice figures as recited in the district court order; operations share per SMART budget; replacement estimate and agreement expiry per SMART district records and the cost-sharing agreements.</w:t>
      </w:r>
      <w:r>
        <w:rPr>
          <w:b/>
          <w:bCs/>
          <w:color w:val="1D5C63"/>
          <w:sz w:val="17"/>
          <w:szCs w:val="17"/>
          <w:vertAlign w:val="superscript"/>
        </w:rPr>
        <w:t xml:space="preserve">40,70</w:t>
      </w:r>
    </w:p>
    <w:p>
      <w:pPr>
        <w:spacing w:after="110" w:before="230"/>
      </w:pPr>
      <w:r>
        <w:rPr>
          <w:b/>
          <w:bCs/>
          <w:color w:val="22303C"/>
          <w:sz w:val="24"/>
          <w:szCs w:val="24"/>
        </w:rPr>
        <w:t xml:space="preserve">9.5 Water</w:t>
      </w:r>
    </w:p>
    <w:p>
      <w:pPr>
        <w:spacing w:after="170" w:line="296" w:lineRule="auto"/>
      </w:pPr>
      <w:r>
        <w:rPr>
          <w:color w:val="22303C"/>
          <w:sz w:val="21"/>
          <w:szCs w:val="21"/>
        </w:rPr>
        <w:t xml:space="preserve">The Town of Telluride's water system is the one system with substantial headroom: peak-day demand of 0.90 MGD against approximately 2.0 MGD of treatment capacity, with a designed expansion path.</w:t>
      </w:r>
      <w:r>
        <w:rPr>
          <w:b/>
          <w:bCs/>
          <w:color w:val="1D5C63"/>
          <w:sz w:val="17"/>
          <w:szCs w:val="17"/>
          <w:vertAlign w:val="superscript"/>
        </w:rPr>
        <w:t xml:space="preserve">41</w:t>
      </w:r>
      <w:r>
        <w:rPr>
          <w:color w:val="22303C"/>
          <w:sz w:val="21"/>
          <w:szCs w:val="21"/>
        </w:rPr>
        <w:t xml:space="preserve"> Norwood presents the opposite case: its firm supply is a single 300 acre-foot contract, approximately two-thirds committed, projected to be fully consumed between 2036 and 2042; its treatment plant approaches capacity on the same horizon.</w:t>
      </w:r>
      <w:r>
        <w:rPr>
          <w:b/>
          <w:bCs/>
          <w:color w:val="1D5C63"/>
          <w:sz w:val="17"/>
          <w:szCs w:val="17"/>
          <w:vertAlign w:val="superscript"/>
        </w:rPr>
        <w:t xml:space="preserve">42</w:t>
      </w:r>
      <w:r>
        <w:rPr>
          <w:color w:val="22303C"/>
          <w:sz w:val="21"/>
          <w:szCs w:val="21"/>
        </w:rPr>
        <w:t xml:space="preserve"> Proposals to relocate workforce housing demand to the West End draw on this fixed supply.</w:t>
      </w:r>
    </w:p>
    <w:p>
      <w:pPr>
        <w:spacing w:after="110" w:before="230"/>
      </w:pPr>
      <w:r>
        <w:rPr>
          <w:b/>
          <w:bCs/>
          <w:color w:val="22303C"/>
          <w:sz w:val="24"/>
          <w:szCs w:val="24"/>
        </w:rPr>
        <w:t xml:space="preserve">9.6 Evacuation</w:t>
      </w:r>
    </w:p>
    <w:p>
      <w:pPr>
        <w:spacing w:after="170" w:line="296" w:lineRule="auto"/>
      </w:pPr>
      <w:r>
        <w:rPr>
          <w:color w:val="22303C"/>
          <w:sz w:val="21"/>
          <w:szCs w:val="21"/>
        </w:rPr>
        <w:t xml:space="preserve">Telluride occupies a box canyon with a single road connection. The County's adopted 2023 hazard mitigation plan describes wildfire evacuation as “a huge concern,” notes that festival populations triple evacuation demand, and lists a secondary egress road for Mountain Village among its official mitigation actions.</w:t>
      </w:r>
      <w:r>
        <w:rPr>
          <w:b/>
          <w:bCs/>
          <w:color w:val="1D5C63"/>
          <w:sz w:val="17"/>
          <w:szCs w:val="17"/>
          <w:vertAlign w:val="superscript"/>
        </w:rPr>
        <w:t xml:space="preserve">43</w:t>
      </w:r>
      <w:r>
        <w:rPr>
          <w:color w:val="22303C"/>
          <w:sz w:val="21"/>
          <w:szCs w:val="21"/>
        </w:rPr>
        <w:t xml:space="preserve"> No evacuation clearance-time analysis exists for the canyon at any population level. Peer precedent demonstrates both the feasibility and the durability of such analysis: Sanibel, Florida grounded its adopted build-out limit in hurricane evacuation clearance time, and that framework withstood legal challenge.</w:t>
      </w:r>
      <w:r>
        <w:rPr>
          <w:b/>
          <w:bCs/>
          <w:color w:val="1D5C63"/>
          <w:sz w:val="17"/>
          <w:szCs w:val="17"/>
          <w:vertAlign w:val="superscript"/>
        </w:rPr>
        <w:t xml:space="preserve">44</w:t>
      </w:r>
    </w:p>
    <w:p>
      <w:pPr>
        <w:spacing w:after="150" w:before="330"/>
      </w:pPr>
      <w:r>
        <w:rPr>
          <w:b/>
          <w:bCs/>
          <w:color w:val="1D5C63"/>
          <w:sz w:val="30"/>
          <w:szCs w:val="30"/>
        </w:rPr>
        <w:t xml:space="preserve">10. Growth dynamics</w:t>
      </w:r>
    </w:p>
    <w:p>
      <w:pPr>
        <w:spacing w:after="170" w:line="296" w:lineRule="auto"/>
      </w:pPr>
      <w:r>
        <w:rPr>
          <w:color w:val="22303C"/>
          <w:sz w:val="21"/>
          <w:szCs w:val="21"/>
        </w:rPr>
        <w:t xml:space="preserve">Workforce housing interacts with growth through a well-documented cycle: housed workers enable expanded commerce, which creates additional employment and generates additional housing need. Resort-economy studies estimate the service-employment overhead at approximately 15–35% per housed household — a convergent feedback, independently reproduced by Livable Telluride's closed-loop model of measured home-service employment and resident spending, which yields a housing-need multiplier of 1.10–1.35.</w:t>
      </w:r>
      <w:r>
        <w:rPr>
          <w:b/>
          <w:bCs/>
          <w:color w:val="1D5C63"/>
          <w:sz w:val="17"/>
          <w:szCs w:val="17"/>
          <w:vertAlign w:val="superscript"/>
        </w:rPr>
        <w:t xml:space="preserve">45,76</w:t>
      </w:r>
      <w:r>
        <w:rPr>
          <w:color w:val="22303C"/>
          <w:sz w:val="21"/>
          <w:szCs w:val="21"/>
        </w:rPr>
        <w:t xml:space="preserve"> The dynamic is embedded in local regulation: the Town's own code attributes 2.5 jobs to every 1,000 square feet of new commercial space and requires mitigation of 40% of them, so that each approval adds unhoused workers by design.</w:t>
      </w:r>
      <w:r>
        <w:rPr>
          <w:b/>
          <w:bCs/>
          <w:color w:val="1D5C63"/>
          <w:sz w:val="17"/>
          <w:szCs w:val="17"/>
          <w:vertAlign w:val="superscript"/>
        </w:rPr>
        <w:t xml:space="preserve">46</w:t>
      </w:r>
    </w:p>
    <w:p>
      <w:pPr>
        <w:spacing w:after="170" w:line="296" w:lineRule="auto"/>
      </w:pPr>
      <w:r>
        <w:rPr>
          <w:color w:val="22303C"/>
          <w:sz w:val="21"/>
          <w:szCs w:val="21"/>
        </w:rPr>
        <w:t xml:space="preserve">Peer experience over five decades spans the range of possible outcomes. Aspen/Pitkin County built the largest program in the United States (more than 3,100 units) without limiting growth and continues to import about 7,500 workers daily.</w:t>
      </w:r>
      <w:r>
        <w:rPr>
          <w:b/>
          <w:bCs/>
          <w:color w:val="1D5C63"/>
          <w:sz w:val="17"/>
          <w:szCs w:val="17"/>
          <w:vertAlign w:val="superscript"/>
        </w:rPr>
        <w:t xml:space="preserve">48</w:t>
      </w:r>
      <w:r>
        <w:rPr>
          <w:color w:val="22303C"/>
          <w:sz w:val="21"/>
          <w:szCs w:val="21"/>
        </w:rPr>
        <w:t xml:space="preserve"> Whistler capped total resort capacity first and built housing toward a fixed target; it houses 84% of its workforce locally, the strongest result in the industry.</w:t>
      </w:r>
      <w:r>
        <w:rPr>
          <w:b/>
          <w:bCs/>
          <w:color w:val="1D5C63"/>
          <w:sz w:val="17"/>
          <w:szCs w:val="17"/>
          <w:vertAlign w:val="superscript"/>
        </w:rPr>
        <w:t xml:space="preserve">49</w:t>
      </w:r>
      <w:r>
        <w:rPr>
          <w:color w:val="22303C"/>
          <w:sz w:val="21"/>
          <w:szCs w:val="21"/>
        </w:rPr>
        <w:t xml:space="preserve"> Big Sky, Montana, built no comparable program and imports about 80% of its workforce by highway.</w:t>
      </w:r>
      <w:r>
        <w:rPr>
          <w:b/>
          <w:bCs/>
          <w:color w:val="1D5C63"/>
          <w:sz w:val="17"/>
          <w:szCs w:val="17"/>
          <w:vertAlign w:val="superscript"/>
        </w:rPr>
        <w:t xml:space="preserve">50</w:t>
      </w:r>
    </w:p>
    <w:p>
      <w:pPr>
        <w:spacing w:after="110" w:before="230"/>
      </w:pPr>
      <w:r>
        <w:rPr>
          <w:b/>
          <w:bCs/>
          <w:color w:val="22303C"/>
          <w:sz w:val="24"/>
          <w:szCs w:val="24"/>
        </w:rPr>
        <w:t xml:space="preserve">10.1 The pipeline already in motion</w:t>
      </w:r>
    </w:p>
    <w:p>
      <w:pPr>
        <w:spacing w:after="170" w:line="296" w:lineRule="auto"/>
      </w:pPr>
      <w:r>
        <w:rPr>
          <w:color w:val="22303C"/>
          <w:sz w:val="21"/>
          <w:szCs w:val="21"/>
        </w:rPr>
        <w:t xml:space="preserve">Growth accommodation is not hypothetical here; it is under construction. </w:t>
      </w:r>
      <w:r>
        <w:rPr>
          <w:b/>
          <w:bCs/>
          <w:color w:val="22303C"/>
          <w:sz w:val="21"/>
          <w:szCs w:val="21"/>
        </w:rPr>
        <w:t xml:space="preserve">Four Seasons Telluride</w:t>
      </w:r>
      <w:r>
        <w:rPr>
          <w:color w:val="22303C"/>
          <w:sz w:val="21"/>
          <w:szCs w:val="21"/>
        </w:rPr>
        <w:t xml:space="preserve"> (Mountain Village): 26 private residences priced from $4 million plus 43 hotel residences, with five-star service levels and no on-site employee housing identified in its materials.</w:t>
      </w:r>
      <w:r>
        <w:rPr>
          <w:b/>
          <w:bCs/>
          <w:color w:val="1D5C63"/>
          <w:sz w:val="17"/>
          <w:szCs w:val="17"/>
          <w:vertAlign w:val="superscript"/>
        </w:rPr>
        <w:t xml:space="preserve">63</w:t>
      </w:r>
      <w:r>
        <w:rPr>
          <w:color w:val="22303C"/>
          <w:sz w:val="21"/>
          <w:szCs w:val="21"/>
        </w:rPr>
        <w:t xml:space="preserve"> </w:t>
      </w:r>
      <w:r>
        <w:rPr>
          <w:b/>
          <w:bCs/>
          <w:color w:val="22303C"/>
          <w:sz w:val="21"/>
          <w:szCs w:val="21"/>
        </w:rPr>
        <w:t xml:space="preserve">Six Senses 109R</w:t>
      </w:r>
      <w:r>
        <w:rPr>
          <w:color w:val="22303C"/>
          <w:sz w:val="21"/>
          <w:szCs w:val="21"/>
        </w:rPr>
        <w:t xml:space="preserve"> (Village Center): 50 guaranteed hot-bed lodge units, 31 lodge units, 20 condominiums, and ~26,000 sq ft of commercial space, with 20 on-site employee units, 18 of them dormitories of 306–408 sq ft.</w:t>
      </w:r>
      <w:r>
        <w:rPr>
          <w:b/>
          <w:bCs/>
          <w:color w:val="1D5C63"/>
          <w:sz w:val="17"/>
          <w:szCs w:val="17"/>
          <w:vertAlign w:val="superscript"/>
        </w:rPr>
        <w:t xml:space="preserve">64</w:t>
      </w:r>
      <w:r>
        <w:rPr>
          <w:color w:val="22303C"/>
          <w:sz w:val="21"/>
          <w:szCs w:val="21"/>
        </w:rPr>
        <w:t xml:space="preserve"> </w:t>
      </w:r>
      <w:r>
        <w:rPr>
          <w:b/>
          <w:bCs/>
          <w:color w:val="22303C"/>
          <w:sz w:val="21"/>
          <w:szCs w:val="21"/>
        </w:rPr>
        <w:t xml:space="preserve">Society Turn</w:t>
      </w:r>
      <w:r>
        <w:rPr>
          <w:color w:val="22303C"/>
          <w:sz w:val="21"/>
          <w:szCs w:val="21"/>
        </w:rPr>
        <w:t xml:space="preserve"> (approved; road work underway): up to 125 hotel rooms, ~188,000 sq ft of commercial, office, and flex space, a future acute-care hospital, and 91–121 employee-housing units.</w:t>
      </w:r>
      <w:r>
        <w:rPr>
          <w:b/>
          <w:bCs/>
          <w:color w:val="1D5C63"/>
          <w:sz w:val="17"/>
          <w:szCs w:val="17"/>
          <w:vertAlign w:val="superscript"/>
        </w:rPr>
        <w:t xml:space="preserve">65</w:t>
      </w:r>
    </w:p>
    <w:p>
      <w:pPr>
        <w:spacing w:after="170" w:line="296" w:lineRule="auto"/>
      </w:pPr>
      <w:r>
        <w:rPr>
          <w:color w:val="22303C"/>
          <w:sz w:val="21"/>
          <w:szCs w:val="21"/>
        </w:rPr>
        <w:t xml:space="preserve">At customary luxury staffing ratios, the two hotels alone imply on the order of </w:t>
      </w:r>
      <w:r>
        <w:rPr>
          <w:b/>
          <w:bCs/>
          <w:color w:val="22303C"/>
          <w:sz w:val="21"/>
          <w:szCs w:val="21"/>
        </w:rPr>
        <w:t xml:space="preserve">200–400 new service jobs against on-site housing for perhaps 25–40 workers</w:t>
      </w:r>
      <w:r>
        <w:rPr>
          <w:color w:val="22303C"/>
          <w:sz w:val="21"/>
          <w:szCs w:val="21"/>
        </w:rPr>
        <w:t xml:space="preserve">.</w:t>
      </w:r>
      <w:r>
        <w:rPr>
          <w:b/>
          <w:bCs/>
          <w:color w:val="1D5C63"/>
          <w:sz w:val="17"/>
          <w:szCs w:val="17"/>
          <w:vertAlign w:val="superscript"/>
        </w:rPr>
        <w:t xml:space="preserve">66</w:t>
      </w:r>
      <w:r>
        <w:rPr>
          <w:color w:val="22303C"/>
          <w:sz w:val="21"/>
          <w:szCs w:val="21"/>
        </w:rPr>
        <w:t xml:space="preserve"> Each project was sized against its own traffic and utility study, while the corridor studies show the gateway intersections failing on background growth alone — individually defensible conclusions that are collectively impossible. No cumulative ledger exists to see the sum; that is the gap Recommendation R2 closes.</w:t>
      </w:r>
    </w:p>
    <w:p>
      <w:pPr>
        <w:spacing w:after="110" w:before="230"/>
      </w:pPr>
      <w:r>
        <w:rPr>
          <w:b/>
          <w:bCs/>
          <w:color w:val="22303C"/>
          <w:sz w:val="24"/>
          <w:szCs w:val="24"/>
        </w:rPr>
        <w:t xml:space="preserve">10.2 The bill one jurisdiction sends the others: a worked example</w:t>
      </w:r>
    </w:p>
    <w:p>
      <w:pPr>
        <w:spacing w:after="170" w:line="296" w:lineRule="auto"/>
      </w:pPr>
      <w:r>
        <w:rPr>
          <w:color w:val="22303C"/>
          <w:sz w:val="21"/>
          <w:szCs w:val="21"/>
        </w:rPr>
        <w:t xml:space="preserve">The two Mountain Village hotels make the externality measurable, because neither Telluride nor the County had any authority over their approval — yet most of the housing, road, and sewer consequences land region-wide. The method is a five-link chain: jobs created, converted to workers (resort workers hold about 1.2 jobs each), converted to households (1.4–1.8 workers per household), less the workers housed on-site, times the public capital the Region actually spends per below-market unit.</w:t>
      </w:r>
      <w:r>
        <w:rPr>
          <w:b/>
          <w:bCs/>
          <w:color w:val="1D5C63"/>
          <w:sz w:val="17"/>
          <w:szCs w:val="17"/>
          <w:vertAlign w:val="superscript"/>
        </w:rPr>
        <w:t xml:space="preserve">73</w:t>
      </w:r>
    </w:p>
    <w:p>
      <w:pPr>
        <w:spacing w:after="170" w:line="296" w:lineRule="auto"/>
      </w:pPr>
      <w:r>
        <w:rPr>
          <w:color w:val="22303C"/>
          <w:sz w:val="21"/>
          <w:szCs w:val="21"/>
        </w:rPr>
        <w:t xml:space="preserve">Applied to the two projects: 200–400 new service jobs become roughly </w:t>
      </w:r>
      <w:r>
        <w:rPr>
          <w:b/>
          <w:bCs/>
          <w:color w:val="22303C"/>
          <w:sz w:val="21"/>
          <w:szCs w:val="21"/>
        </w:rPr>
        <w:t xml:space="preserve">70–220 unhoused worker households — centrally, about 140</w:t>
      </w:r>
      <w:r>
        <w:rPr>
          <w:color w:val="22303C"/>
          <w:sz w:val="21"/>
          <w:szCs w:val="21"/>
        </w:rPr>
        <w:t xml:space="preserve"> — after crediting the only on-site housing either project provides. These are service wages, mostly 60–100% of AMI: the tier where demand is deepest and where the Region's demonstrated public gap runs $145,000–$352,000 per unit at Sunnyside-class delivery and $678,000–$1,090,000 at VooDoo-class delivery. The resulting public housing bill is </w:t>
      </w:r>
      <w:r>
        <w:rPr>
          <w:b/>
          <w:bCs/>
          <w:color w:val="22303C"/>
          <w:sz w:val="21"/>
          <w:szCs w:val="21"/>
        </w:rPr>
        <w:t xml:space="preserve">roughly $55–100 million centrally</w:t>
      </w:r>
      <w:r>
        <w:rPr>
          <w:color w:val="22303C"/>
          <w:sz w:val="21"/>
          <w:szCs w:val="21"/>
        </w:rPr>
        <w:t xml:space="preserve">, with honest bounds from $10 million to $240 million.</w:t>
      </w:r>
      <w:r>
        <w:rPr>
          <w:b/>
          <w:bCs/>
          <w:color w:val="1D5C63"/>
          <w:sz w:val="17"/>
          <w:szCs w:val="17"/>
          <w:vertAlign w:val="superscript"/>
        </w:rPr>
        <w:t xml:space="preserve">74</w:t>
      </w:r>
    </w:p>
    <w:p>
      <w:pPr>
        <w:spacing w:after="170" w:line="296" w:lineRule="auto"/>
      </w:pPr>
      <w:r>
        <w:rPr>
          <w:color w:val="22303C"/>
          <w:sz w:val="21"/>
          <w:szCs w:val="21"/>
        </w:rPr>
        <w:t xml:space="preserve">Divided by the roughly 124 hotel keys, that is </w:t>
      </w:r>
      <w:r>
        <w:rPr>
          <w:b/>
          <w:bCs/>
          <w:color w:val="22303C"/>
          <w:sz w:val="21"/>
          <w:szCs w:val="21"/>
        </w:rPr>
        <w:t xml:space="preserve">$450,000–$800,000 of unfunded public housing obligation embedded in every luxury key — about $200,000–$360,000 per guest pillow.</w:t>
      </w:r>
      <w:r>
        <w:rPr>
          <w:color w:val="22303C"/>
          <w:sz w:val="21"/>
          <w:szCs w:val="21"/>
        </w:rPr>
        <w:t xml:space="preserve"> The same two projects draw down the shared systems directly: roughly 0.05–0.08 MGD of wastewater demand — </w:t>
      </w:r>
      <w:r>
        <w:rPr>
          <w:b/>
          <w:bCs/>
          <w:color w:val="22303C"/>
          <w:sz w:val="21"/>
          <w:szCs w:val="21"/>
        </w:rPr>
        <w:t xml:space="preserve">about 5–8% of the new regional plant's entire generational headroom</w:t>
      </w:r>
      <w:r>
        <w:rPr>
          <w:color w:val="22303C"/>
          <w:sz w:val="21"/>
          <w:szCs w:val="21"/>
        </w:rPr>
        <w:t xml:space="preserve"> — and several hundred daily vehicle trips against the failing Society Turn intersection pair.</w:t>
      </w:r>
      <w:r>
        <w:rPr>
          <w:b/>
          <w:bCs/>
          <w:color w:val="1D5C63"/>
          <w:sz w:val="17"/>
          <w:szCs w:val="17"/>
          <w:vertAlign w:val="superscript"/>
        </w:rPr>
        <w:t xml:space="preserve">75</w:t>
      </w:r>
    </w:p>
    <w:p>
      <w:pPr>
        <w:spacing w:after="170" w:line="296" w:lineRule="auto"/>
      </w:pPr>
      <w:r>
        <w:rPr>
          <w:color w:val="22303C"/>
          <w:sz w:val="21"/>
          <w:szCs w:val="21"/>
        </w:rPr>
        <w:t xml:space="preserve">The point is not that these projects are improper; it is that </w:t>
      </w:r>
      <w:r>
        <w:rPr>
          <w:b/>
          <w:bCs/>
          <w:color w:val="22303C"/>
          <w:sz w:val="21"/>
          <w:szCs w:val="21"/>
        </w:rPr>
        <w:t xml:space="preserve">the bill exists whether or not anyone writes it down.</w:t>
      </w:r>
      <w:r>
        <w:rPr>
          <w:color w:val="22303C"/>
          <w:sz w:val="21"/>
          <w:szCs w:val="21"/>
        </w:rPr>
        <w:t xml:space="preserve"> A standing, one-page project housing and infrastructure bill — jobs by wage tier, net unhoused households, public capital at demonstrated delivery costs, MGD and peak trips — published for every approval region-wide, would have put these numbers in front of every affected government before the decisions were made. The estimates above are ranges [E] and should be replaced by the projects' mitigation filings when those become public, including any credit due under Mountain Village's own mitigation code.</w:t>
      </w:r>
    </w:p>
    <w:p>
      <w:pPr>
        <w:spacing w:after="170" w:line="296" w:lineRule="auto"/>
      </w:pPr>
      <w:r>
        <w:rPr>
          <w:b/>
          <w:bCs/>
          <w:color w:val="22303C"/>
          <w:sz w:val="21"/>
          <w:szCs w:val="21"/>
        </w:rPr>
        <w:t xml:space="preserve">Implication.</w:t>
      </w:r>
      <w:r>
        <w:rPr>
          <w:color w:val="22303C"/>
          <w:sz w:val="21"/>
          <w:szCs w:val="21"/>
        </w:rPr>
        <w:t xml:space="preserve"> Housing sized to the documented needs of existing residents and current workers remedies a deficit. Housing beyond that point, or priced to recruit new higher-income households, accommodates growth — and its infrastructure costs (Section 9) arrive with it. Until the Region adopts an explicit target for the scale of its visitor economy, the distinction cannot be enforced.</w:t>
      </w:r>
    </w:p>
    <w:p>
      <w:pPr>
        <w:spacing w:after="110" w:before="230"/>
      </w:pPr>
      <w:r>
        <w:rPr>
          <w:b/>
          <w:bCs/>
          <w:color w:val="22303C"/>
          <w:sz w:val="24"/>
          <w:szCs w:val="24"/>
        </w:rPr>
        <w:t xml:space="preserve">10.3 Managing the committed influx: a least-cost response plan</w:t>
      </w:r>
    </w:p>
    <w:p>
      <w:pPr>
        <w:spacing w:after="170" w:line="296" w:lineRule="auto"/>
      </w:pPr>
      <w:r>
        <w:rPr>
          <w:color w:val="22303C"/>
          <w:sz w:val="21"/>
          <w:szCs w:val="21"/>
        </w:rPr>
        <w:t xml:space="preserve">The two hotels are approved and under construction; the estimated 70–220 worker households of Section 10.2 will arrive on the operators' schedule whether or not the Region prepares. This is the one growth event the need-catching lens cannot screen out — the election was made, by one jurisdiction — so the question becomes narrow and practical: </w:t>
      </w:r>
      <w:r>
        <w:rPr>
          <w:b/>
          <w:bCs/>
          <w:color w:val="22303C"/>
          <w:sz w:val="21"/>
          <w:szCs w:val="21"/>
        </w:rPr>
        <w:t xml:space="preserve">how to absorb a known influx at the least public cost and the least impact on the existing community.</w:t>
      </w:r>
      <w:r>
        <w:rPr>
          <w:color w:val="22303C"/>
          <w:sz w:val="21"/>
          <w:szCs w:val="21"/>
        </w:rPr>
        <w:t xml:space="preserve"> Five measures, in order of leverage:</w:t>
      </w:r>
    </w:p>
    <w:p>
      <w:pPr>
        <w:spacing w:after="170" w:line="296" w:lineRule="auto"/>
      </w:pPr>
      <w:r>
        <w:rPr>
          <w:b/>
          <w:bCs/>
          <w:color w:val="22303C"/>
          <w:sz w:val="21"/>
          <w:szCs w:val="21"/>
        </w:rPr>
        <w:t xml:space="preserve">1. Assign the bill to its owners.</w:t>
      </w:r>
      <w:r>
        <w:rPr>
          <w:color w:val="22303C"/>
          <w:sz w:val="21"/>
          <w:szCs w:val="21"/>
        </w:rPr>
        <w:t xml:space="preserve"> Luxury operators budget for staff housing in every comparable market, and the Region's remaining points of discretion — final certificates of occupancy, license approvals, any future amendment either project requests — are its negotiating opportunities. The objective is executed agreements before opening: operator-funded housing commitments sized to actual staffing plans, with the mitigation filings (Section 18) replacing the estimates of Section 10.2. Every worker housed at operator expense is a worker the public never pays for.</w:t>
      </w:r>
      <w:r>
        <w:rPr>
          <w:b/>
          <w:bCs/>
          <w:color w:val="1D5C63"/>
          <w:sz w:val="17"/>
          <w:szCs w:val="17"/>
          <w:vertAlign w:val="superscript"/>
        </w:rPr>
        <w:t xml:space="preserve">82</w:t>
      </w:r>
    </w:p>
    <w:p>
      <w:pPr>
        <w:spacing w:after="170" w:line="296" w:lineRule="auto"/>
      </w:pPr>
      <w:r>
        <w:rPr>
          <w:b/>
          <w:bCs/>
          <w:color w:val="22303C"/>
          <w:sz w:val="21"/>
          <w:szCs w:val="21"/>
        </w:rPr>
        <w:t xml:space="preserve">2. Master leases before mortar.</w:t>
      </w:r>
      <w:r>
        <w:rPr>
          <w:color w:val="22303C"/>
          <w:sz w:val="21"/>
          <w:szCs w:val="21"/>
        </w:rPr>
        <w:t xml:space="preserve"> The fastest instrument that matches a staffing ramp is the master lease: the operators (or the housing authority, funded by them) lease blocks of existing units regionally — at approximately $5,000–15,000 per bed per year, roughly 140 households can be absorbed for $0.7–2.1 million annually, a minor operating line for two five-star properties and a rounding error against the $55–100 million public construction alternative. Master leases are reversible if staffing falls short, draw no infrastructure, and begin working the month they are signed.</w:t>
      </w:r>
      <w:r>
        <w:rPr>
          <w:b/>
          <w:bCs/>
          <w:color w:val="1D5C63"/>
          <w:sz w:val="17"/>
          <w:szCs w:val="17"/>
          <w:vertAlign w:val="superscript"/>
        </w:rPr>
        <w:t xml:space="preserve">78</w:t>
      </w:r>
    </w:p>
    <w:p>
      <w:pPr>
        <w:spacing w:after="170" w:line="296" w:lineRule="auto"/>
      </w:pPr>
      <w:r>
        <w:rPr>
          <w:b/>
          <w:bCs/>
          <w:color w:val="22303C"/>
          <w:sz w:val="21"/>
          <w:szCs w:val="21"/>
        </w:rPr>
        <w:t xml:space="preserve">3. On-site and near-site seasonal capacity.</w:t>
      </w:r>
      <w:r>
        <w:rPr>
          <w:color w:val="22303C"/>
          <w:sz w:val="21"/>
          <w:szCs w:val="21"/>
        </w:rPr>
        <w:t xml:space="preserve"> Six Senses' 18 dormitories are the honest product for seasonal service staffing and the template to extend: additional dormitory capacity on operator-controlled land in Mountain Village houses peak-season staff where they work, off the highway network entirely. The Region's role is permissive speed, not funding.</w:t>
      </w:r>
    </w:p>
    <w:p>
      <w:pPr>
        <w:spacing w:after="170" w:line="296" w:lineRule="auto"/>
      </w:pPr>
      <w:r>
        <w:rPr>
          <w:b/>
          <w:bCs/>
          <w:color w:val="22303C"/>
          <w:sz w:val="21"/>
          <w:szCs w:val="21"/>
        </w:rPr>
        <w:t xml:space="preserve">4. Transit as the partial substitute for beds.</w:t>
      </w:r>
      <w:r>
        <w:rPr>
          <w:color w:val="22303C"/>
          <w:sz w:val="21"/>
          <w:szCs w:val="21"/>
        </w:rPr>
        <w:t xml:space="preserve"> A share of the workforce will live down-valley and in Montrose regardless of policy; the community-impact variable is whether they arrive in single-occupancy vehicles through the failing gateway intersections. Employer-funded, shift-timed service — the Section 11.2 package: late-evening returns, guaranteed ride home, universal passes, park-and-rides at Placerville and Norwood, vanpool coordination — costs approximately $2,000–5,000 per worker per year, one-tenth the annualized cost of a constructed bed, and directly reduces peak-hour load.</w:t>
      </w:r>
      <w:r>
        <w:rPr>
          <w:b/>
          <w:bCs/>
          <w:color w:val="1D5C63"/>
          <w:sz w:val="17"/>
          <w:szCs w:val="17"/>
          <w:vertAlign w:val="superscript"/>
        </w:rPr>
        <w:t xml:space="preserve">77</w:t>
      </w:r>
    </w:p>
    <w:p>
      <w:pPr>
        <w:spacing w:after="170" w:line="296" w:lineRule="auto"/>
      </w:pPr>
      <w:r>
        <w:rPr>
          <w:b/>
          <w:bCs/>
          <w:color w:val="22303C"/>
          <w:sz w:val="21"/>
          <w:szCs w:val="21"/>
        </w:rPr>
        <w:t xml:space="preserve">5. Sequence the corridor beds already entitled.</w:t>
      </w:r>
      <w:r>
        <w:rPr>
          <w:color w:val="22303C"/>
          <w:sz w:val="21"/>
          <w:szCs w:val="21"/>
        </w:rPr>
        <w:t xml:space="preserve"> The 121 Society Turn employee units and the 70–100 planned at Ilium/Alexander are the constructed capacity nearest the new jobs, outside the box canyon, adjacent to the future treatment plant. The Region's task is timing and pricing: completion covenants aligned to hotel openings, rents set to service wages (60–100% of AMI, per Rule 6), and operator master-lease commitments that guarantee absorption without public carrying risk.</w:t>
      </w:r>
    </w:p>
    <w:p>
      <w:pPr>
        <w:spacing w:after="170" w:line="296" w:lineRule="auto"/>
      </w:pPr>
      <w:r>
        <w:rPr>
          <w:b/>
          <w:bCs/>
          <w:color w:val="22303C"/>
          <w:sz w:val="21"/>
          <w:szCs w:val="21"/>
        </w:rPr>
        <w:t xml:space="preserve">What the response plan avoids</w:t>
      </w:r>
      <w:r>
        <w:rPr>
          <w:color w:val="22303C"/>
          <w:sz w:val="21"/>
          <w:szCs w:val="21"/>
        </w:rPr>
        <w:t xml:space="preserve"> is equally specific: no public bespoke construction undertaken in the hotels' name (a second Voodoo, justified by the influx, would compound the original externality with a below-break-even response); no discounted mitigation buyouts against stale fee schedules; and no expansion of the general housing program on the hotels' account — the influx is the operators' bill, and the framework's function is to keep it on their ledger. Managed this way, the public exposure of a $55–100 million externality contracts to </w:t>
      </w:r>
      <w:r>
        <w:rPr>
          <w:b/>
          <w:bCs/>
          <w:color w:val="22303C"/>
          <w:sz w:val="21"/>
          <w:szCs w:val="21"/>
        </w:rPr>
        <w:t xml:space="preserve">roughly $5–15 million of targeted restriction purchases, transit capital, and administration</w:t>
      </w:r>
      <w:r>
        <w:rPr>
          <w:color w:val="22303C"/>
          <w:sz w:val="21"/>
          <w:szCs w:val="21"/>
        </w:rPr>
        <w:t xml:space="preserve"> — with the balance carried where it originated.</w:t>
      </w:r>
      <w:r>
        <w:rPr>
          <w:b/>
          <w:bCs/>
          <w:color w:val="1D5C63"/>
          <w:sz w:val="17"/>
          <w:szCs w:val="17"/>
          <w:vertAlign w:val="superscript"/>
        </w:rPr>
        <w:t xml:space="preserve">82</w:t>
      </w:r>
    </w:p>
    <w:p>
      <w:pPr>
        <w:spacing w:after="150" w:before="330"/>
      </w:pPr>
      <w:r>
        <w:rPr>
          <w:b/>
          <w:bCs/>
          <w:color w:val="1D5C63"/>
          <w:sz w:val="30"/>
          <w:szCs w:val="30"/>
        </w:rPr>
        <w:t xml:space="preserve">11. Carrying-capacity synthesis and siting</w:t>
      </w:r>
    </w:p>
    <w:p>
      <w:pPr>
        <w:spacing w:after="170" w:line="296" w:lineRule="auto"/>
      </w:pPr>
      <w:r>
        <w:rPr>
          <w:color w:val="22303C"/>
          <w:sz w:val="21"/>
          <w:szCs w:val="21"/>
        </w:rPr>
        <w:t xml:space="preserve">Regional carrying capacity is the most binding of the individual limits. On the assembled record:</w:t>
      </w:r>
    </w:p>
    <w:p>
      <w:pPr>
        <w:pStyle w:val="ListParagraph"/>
        <w:numPr>
          <w:ilvl w:val="0"/>
          <w:numId w:val="1"/>
        </w:numPr>
        <w:spacing w:after="90" w:line="286" w:lineRule="auto"/>
      </w:pPr>
      <w:r>
        <w:rPr>
          <w:b/>
          <w:bCs/>
          <w:color w:val="22303C"/>
          <w:sz w:val="21"/>
          <w:szCs w:val="21"/>
        </w:rPr>
        <w:t xml:space="preserve">Land.</w:t>
      </w:r>
      <w:r>
        <w:rPr>
          <w:color w:val="22303C"/>
          <w:sz w:val="21"/>
          <w:szCs w:val="21"/>
        </w:rPr>
        <w:t xml:space="preserve"> Of the approximately 20,250-acre East End planning area, 476 acres carry multifamily-capable designations and are substantially built out; the remaining acreage is zoned at one unit per 35 acres. Additional multifamily capacity is therefore a policy decision (rezoning or public land), not an existing entitlement.</w:t>
      </w:r>
      <w:r>
        <w:rPr>
          <w:b/>
          <w:bCs/>
          <w:color w:val="1D5C63"/>
          <w:sz w:val="17"/>
          <w:szCs w:val="17"/>
          <w:vertAlign w:val="superscript"/>
        </w:rPr>
        <w:t xml:space="preserve">51</w:t>
      </w:r>
    </w:p>
    <w:p>
      <w:pPr>
        <w:pStyle w:val="ListParagraph"/>
        <w:numPr>
          <w:ilvl w:val="0"/>
          <w:numId w:val="1"/>
        </w:numPr>
        <w:spacing w:after="90" w:line="286" w:lineRule="auto"/>
      </w:pPr>
      <w:r>
        <w:rPr>
          <w:b/>
          <w:bCs/>
          <w:color w:val="22303C"/>
          <w:sz w:val="21"/>
          <w:szCs w:val="21"/>
        </w:rPr>
        <w:t xml:space="preserve">Wastewater.</w:t>
      </w:r>
      <w:r>
        <w:rPr>
          <w:color w:val="22303C"/>
          <w:sz w:val="21"/>
          <w:szCs w:val="21"/>
        </w:rPr>
        <w:t xml:space="preserve"> At the constraint now; relief requires a nine-figure facility and a new regional authority by 2028.</w:t>
      </w:r>
    </w:p>
    <w:p>
      <w:pPr>
        <w:pStyle w:val="ListParagraph"/>
        <w:numPr>
          <w:ilvl w:val="0"/>
          <w:numId w:val="1"/>
        </w:numPr>
        <w:spacing w:after="90" w:line="286" w:lineRule="auto"/>
      </w:pPr>
      <w:r>
        <w:rPr>
          <w:b/>
          <w:bCs/>
          <w:color w:val="22303C"/>
          <w:sz w:val="21"/>
          <w:szCs w:val="21"/>
        </w:rPr>
        <w:t xml:space="preserve">Transportation.</w:t>
      </w:r>
      <w:r>
        <w:rPr>
          <w:color w:val="22303C"/>
          <w:sz w:val="21"/>
          <w:szCs w:val="21"/>
        </w:rPr>
        <w:t xml:space="preserve"> Gateway intersections fail within the planning horizon on background growth alone.</w:t>
      </w:r>
    </w:p>
    <w:p>
      <w:pPr>
        <w:pStyle w:val="ListParagraph"/>
        <w:numPr>
          <w:ilvl w:val="0"/>
          <w:numId w:val="1"/>
        </w:numPr>
        <w:spacing w:after="90" w:line="286" w:lineRule="auto"/>
      </w:pPr>
      <w:r>
        <w:rPr>
          <w:b/>
          <w:bCs/>
          <w:color w:val="22303C"/>
          <w:sz w:val="21"/>
          <w:szCs w:val="21"/>
        </w:rPr>
        <w:t xml:space="preserve">Water.</w:t>
      </w:r>
      <w:r>
        <w:rPr>
          <w:color w:val="22303C"/>
          <w:sz w:val="21"/>
          <w:szCs w:val="21"/>
        </w:rPr>
        <w:t xml:space="preserve"> Adequate in Telluride; approaching exhaustion in Norwood.</w:t>
      </w:r>
    </w:p>
    <w:p>
      <w:pPr>
        <w:pStyle w:val="ListParagraph"/>
        <w:numPr>
          <w:ilvl w:val="0"/>
          <w:numId w:val="1"/>
        </w:numPr>
        <w:spacing w:after="90" w:line="286" w:lineRule="auto"/>
      </w:pPr>
      <w:r>
        <w:rPr>
          <w:b/>
          <w:bCs/>
          <w:color w:val="22303C"/>
          <w:sz w:val="21"/>
          <w:szCs w:val="21"/>
        </w:rPr>
        <w:t xml:space="preserve">Evacuation.</w:t>
      </w:r>
      <w:r>
        <w:rPr>
          <w:color w:val="22303C"/>
          <w:sz w:val="21"/>
          <w:szCs w:val="21"/>
        </w:rPr>
        <w:t xml:space="preserve"> Unquantified.</w:t>
      </w:r>
    </w:p>
    <w:p>
      <w:pPr>
        <w:spacing w:after="170" w:line="296" w:lineRule="auto"/>
      </w:pPr>
      <w:r>
        <w:rPr>
          <w:color w:val="22303C"/>
          <w:sz w:val="21"/>
          <w:szCs w:val="21"/>
        </w:rPr>
        <w:t xml:space="preserve">Colorado law forecloses the bluntest instrument — annual residential permit caps.</w:t>
      </w:r>
      <w:r>
        <w:rPr>
          <w:b/>
          <w:bCs/>
          <w:color w:val="1D5C63"/>
          <w:sz w:val="17"/>
          <w:szCs w:val="17"/>
          <w:vertAlign w:val="superscript"/>
        </w:rPr>
        <w:t xml:space="preserve">52</w:t>
      </w:r>
      <w:r>
        <w:rPr>
          <w:color w:val="22303C"/>
          <w:sz w:val="21"/>
          <w:szCs w:val="21"/>
        </w:rPr>
        <w:t xml:space="preserve"> The legally durable framework, demonstrated by peer communities, combines: a published parcel-level buildout ledger (Teton County model</w:t>
      </w:r>
      <w:r>
        <w:rPr>
          <w:b/>
          <w:bCs/>
          <w:color w:val="1D5C63"/>
          <w:sz w:val="17"/>
          <w:szCs w:val="17"/>
          <w:vertAlign w:val="superscript"/>
        </w:rPr>
        <w:t xml:space="preserve">53</w:t>
      </w:r>
      <w:r>
        <w:rPr>
          <w:color w:val="22303C"/>
          <w:sz w:val="21"/>
          <w:szCs w:val="21"/>
        </w:rPr>
        <w:t xml:space="preserve">); a per-capita infrastructure accounting unit (Whistler's bed-unit</w:t>
      </w:r>
      <w:r>
        <w:rPr>
          <w:b/>
          <w:bCs/>
          <w:color w:val="1D5C63"/>
          <w:sz w:val="17"/>
          <w:szCs w:val="17"/>
          <w:vertAlign w:val="superscript"/>
        </w:rPr>
        <w:t xml:space="preserve">54</w:t>
      </w:r>
      <w:r>
        <w:rPr>
          <w:color w:val="22303C"/>
          <w:sz w:val="21"/>
          <w:szCs w:val="21"/>
        </w:rPr>
        <w:t xml:space="preserve">); adopted infrastructure thresholds that trigger review; and, most defensibly, a safety-based limit grounded in evacuation clearance time (Sanibel model</w:t>
      </w:r>
      <w:r>
        <w:rPr>
          <w:b/>
          <w:bCs/>
          <w:color w:val="1D5C63"/>
          <w:sz w:val="17"/>
          <w:szCs w:val="17"/>
          <w:vertAlign w:val="superscript"/>
        </w:rPr>
        <w:t xml:space="preserve">44</w:t>
      </w:r>
      <w:r>
        <w:rPr>
          <w:color w:val="22303C"/>
          <w:sz w:val="21"/>
          <w:szCs w:val="21"/>
        </w:rPr>
        <w:t xml:space="preserve">).</w:t>
      </w:r>
    </w:p>
    <w:p>
      <w:pPr>
        <w:spacing w:after="170" w:line="296" w:lineRule="auto"/>
      </w:pPr>
      <w:r>
        <w:rPr>
          <w:b/>
          <w:bCs/>
          <w:color w:val="22303C"/>
          <w:sz w:val="21"/>
          <w:szCs w:val="21"/>
        </w:rPr>
        <w:t xml:space="preserve">Count pillows, not just units.</w:t>
      </w:r>
      <w:r>
        <w:rPr>
          <w:color w:val="22303C"/>
          <w:sz w:val="21"/>
          <w:szCs w:val="21"/>
        </w:rPr>
        <w:t xml:space="preserve"> Most of the committed pipeline is visitor beds, which consume sewer capacity, road capacity, gondola trips, and evacuation time exactly as housing does — yet appear nowhere in the housing debate. This is why Whistler's ledger counts bed-units rather than dwellings, and why the evacuation study of Recommendation R1 must be run at festival-plus-hotel peak population, not resident population.</w:t>
      </w:r>
    </w:p>
    <w:p>
      <w:pPr>
        <w:spacing w:after="110" w:before="230"/>
      </w:pPr>
      <w:r>
        <w:rPr>
          <w:b/>
          <w:bCs/>
          <w:color w:val="22303C"/>
          <w:sz w:val="24"/>
          <w:szCs w:val="24"/>
        </w:rPr>
        <w:t xml:space="preserve">11.1 Where new housing should go</w:t>
      </w:r>
    </w:p>
    <w:p>
      <w:pPr>
        <w:spacing w:after="170" w:line="296" w:lineRule="auto"/>
      </w:pPr>
      <w:r>
        <w:rPr>
          <w:color w:val="22303C"/>
          <w:sz w:val="21"/>
          <w:szCs w:val="21"/>
        </w:rPr>
        <w:t xml:space="preserve">The constraints, read together, draw a map. </w:t>
      </w:r>
      <w:r>
        <w:rPr>
          <w:b/>
          <w:bCs/>
          <w:color w:val="22303C"/>
          <w:sz w:val="21"/>
          <w:szCs w:val="21"/>
        </w:rPr>
        <w:t xml:space="preserve">The Highway 145 corridor — Ilium/Alexander and Society Turn — is the Region's rational growth shelf:</w:t>
      </w:r>
      <w:r>
        <w:rPr>
          <w:color w:val="22303C"/>
          <w:sz w:val="21"/>
          <w:szCs w:val="21"/>
        </w:rPr>
        <w:t xml:space="preserve"> Community Housing zoning is in place at Alexander, the land is publicly owned (the variable that made Meadowlark cheap), the new wastewater plant will sit next door, the sites lie outside the box canyon (evacuation-neutral), and the 63L intersection work is already under study. Society Turn's 121 employee units add a second node beside the hospital and hotel jobs. </w:t>
      </w:r>
      <w:r>
        <w:rPr>
          <w:b/>
          <w:bCs/>
          <w:color w:val="22303C"/>
          <w:sz w:val="21"/>
          <w:szCs w:val="21"/>
        </w:rPr>
        <w:t xml:space="preserve">Inside Telluride proper, purchase restrictions instead of building</w:t>
      </w:r>
      <w:r>
        <w:rPr>
          <w:color w:val="22303C"/>
          <w:sz w:val="21"/>
          <w:szCs w:val="21"/>
        </w:rPr>
        <w:t xml:space="preserve"> — delivery costs of $1.26M–$3.3M per unit and an unquantified evacuation envelope argue against major in-town construction. </w:t>
      </w:r>
      <w:r>
        <w:rPr>
          <w:b/>
          <w:bCs/>
          <w:color w:val="22303C"/>
          <w:sz w:val="21"/>
          <w:szCs w:val="21"/>
        </w:rPr>
        <w:t xml:space="preserve">The West End stays conditional</w:t>
      </w:r>
      <w:r>
        <w:rPr>
          <w:color w:val="22303C"/>
          <w:sz w:val="21"/>
          <w:szCs w:val="21"/>
        </w:rPr>
        <w:t xml:space="preserve"> until Norwood's water is solved (Section 11.2). </w:t>
      </w:r>
      <w:r>
        <w:rPr>
          <w:b/>
          <w:bCs/>
          <w:color w:val="22303C"/>
          <w:sz w:val="21"/>
          <w:szCs w:val="21"/>
        </w:rPr>
        <w:t xml:space="preserve">Montrose remains the safety valve</w:t>
      </w:r>
      <w:r>
        <w:rPr>
          <w:color w:val="22303C"/>
          <w:sz w:val="21"/>
          <w:szCs w:val="21"/>
        </w:rPr>
        <w:t xml:space="preserve">, understood honestly as a commuting mandate.</w:t>
      </w:r>
    </w:p>
    <w:p>
      <w:pPr>
        <w:spacing w:after="170" w:line="296" w:lineRule="auto"/>
      </w:pPr>
      <w:r>
        <w:rPr>
          <w:color w:val="22303C"/>
          <w:sz w:val="21"/>
          <w:szCs w:val="21"/>
        </w:rPr>
        <w:t xml:space="preserve">One sequencing rule keeps the strategy honest: corridor concentration loads the same intersections the studies say are failing. Infrastructure and the capacity ledger come first; entitlements draw against them, not ahead of them.</w:t>
      </w:r>
    </w:p>
    <w:p>
      <w:pPr>
        <w:spacing w:after="110" w:before="230"/>
      </w:pPr>
      <w:r>
        <w:rPr>
          <w:b/>
          <w:bCs/>
          <w:color w:val="22303C"/>
          <w:sz w:val="24"/>
          <w:szCs w:val="24"/>
        </w:rPr>
        <w:t xml:space="preserve">11.2 The Norwood option: water first, then transit</w:t>
      </w:r>
    </w:p>
    <w:p>
      <w:pPr>
        <w:spacing w:after="170" w:line="296" w:lineRule="auto"/>
      </w:pPr>
      <w:r>
        <w:rPr>
          <w:color w:val="22303C"/>
          <w:sz w:val="21"/>
          <w:szCs w:val="21"/>
        </w:rPr>
        <w:t xml:space="preserve">Norwood is the Region's only large supply of inexpensive, developable land — and its water system is committed to roughly two-thirds of a single 300 acre-foot contract. The instinctive fix, transferring Telluride water rights to Norwood, is mostly the wrong instrument: </w:t>
      </w:r>
      <w:r>
        <w:rPr>
          <w:b/>
          <w:bCs/>
          <w:color w:val="22303C"/>
          <w:sz w:val="21"/>
          <w:szCs w:val="21"/>
        </w:rPr>
        <w:t xml:space="preserve">Norwood already owns a decreed 5 cfs San Miguel River diversion right it has never built.</w:t>
      </w:r>
      <w:r>
        <w:rPr>
          <w:color w:val="22303C"/>
          <w:sz w:val="21"/>
          <w:szCs w:val="21"/>
        </w:rPr>
        <w:t xml:space="preserve"> Its constraint is not paper water but infrastructure — the intake, the pump lift from the canyon to Wright's Mesa, a transmission line, and a treatment plant already nearing capacity.</w:t>
      </w:r>
      <w:r>
        <w:rPr>
          <w:b/>
          <w:bCs/>
          <w:color w:val="1D5C63"/>
          <w:sz w:val="17"/>
          <w:szCs w:val="17"/>
          <w:vertAlign w:val="superscript"/>
        </w:rPr>
        <w:t xml:space="preserve">67</w:t>
      </w:r>
    </w:p>
    <w:p>
      <w:pPr>
        <w:spacing w:after="170" w:line="296" w:lineRule="auto"/>
      </w:pPr>
      <w:r>
        <w:rPr>
          <w:color w:val="22303C"/>
          <w:sz w:val="21"/>
          <w:szCs w:val="21"/>
        </w:rPr>
        <w:t xml:space="preserve">Where Telluride's water genuinely helps is </w:t>
      </w:r>
      <w:r>
        <w:rPr>
          <w:b/>
          <w:bCs/>
          <w:color w:val="22303C"/>
          <w:sz w:val="21"/>
          <w:szCs w:val="21"/>
        </w:rPr>
        <w:t xml:space="preserve">dry-year firming</w:t>
      </w:r>
      <w:r>
        <w:rPr>
          <w:color w:val="22303C"/>
          <w:sz w:val="21"/>
          <w:szCs w:val="21"/>
        </w:rPr>
        <w:t xml:space="preserve">: Norwood's river right is junior and could be curtailed in drought — exactly when its reservoir supply is weakest — while Telluride holds senior stored water (Blue Lake, 1,300+ acre-feet) upstream of Norwood's diversion point. A commitment of storage releases in curtailment years would firm the river right at little cost to Telluride in normal years. The workable structure is a </w:t>
      </w:r>
      <w:r>
        <w:rPr>
          <w:b/>
          <w:bCs/>
          <w:color w:val="22303C"/>
          <w:sz w:val="21"/>
          <w:szCs w:val="21"/>
        </w:rPr>
        <w:t xml:space="preserve">water-for-housing intergovernmental agreement</w:t>
      </w:r>
      <w:r>
        <w:rPr>
          <w:color w:val="22303C"/>
          <w:sz w:val="21"/>
          <w:szCs w:val="21"/>
        </w:rPr>
        <w:t xml:space="preserve">, analogous to the 2025 wastewater MOU: the governments co-fund the diversion package, Telluride provides the firming commitment, and Norwood commits a defined share of the unlocked capacity to workforce housing with Meadowlark-style eligibility — not the income-capped design that stranded Pinion Park.</w:t>
      </w:r>
      <w:r>
        <w:rPr>
          <w:b/>
          <w:bCs/>
          <w:color w:val="1D5C63"/>
          <w:sz w:val="17"/>
          <w:szCs w:val="17"/>
          <w:vertAlign w:val="superscript"/>
        </w:rPr>
        <w:t xml:space="preserve">68</w:t>
      </w:r>
    </w:p>
    <w:p>
      <w:pPr>
        <w:spacing w:after="170" w:line="296" w:lineRule="auto"/>
      </w:pPr>
      <w:r>
        <w:rPr>
          <w:b/>
          <w:bCs/>
          <w:color w:val="22303C"/>
          <w:sz w:val="21"/>
          <w:szCs w:val="21"/>
        </w:rPr>
        <w:t xml:space="preserve">If the water works, the road must too.</w:t>
      </w:r>
      <w:r>
        <w:rPr>
          <w:color w:val="22303C"/>
          <w:sz w:val="21"/>
          <w:szCs w:val="21"/>
        </w:rPr>
        <w:t xml:space="preserve"> SMART already runs a Norwood–Telluride commuter bus — about 65–70 minutes, $2 each way — that is lightly used.</w:t>
      </w:r>
      <w:r>
        <w:rPr>
          <w:b/>
          <w:bCs/>
          <w:color w:val="1D5C63"/>
          <w:sz w:val="17"/>
          <w:szCs w:val="17"/>
          <w:vertAlign w:val="superscript"/>
        </w:rPr>
        <w:t xml:space="preserve">69</w:t>
      </w:r>
      <w:r>
        <w:rPr>
          <w:color w:val="22303C"/>
          <w:sz w:val="21"/>
          <w:szCs w:val="21"/>
        </w:rPr>
        <w:t xml:space="preserve"> The fixes are known transit practice, and inexpensive next to construction subsidies: schedules built around hospitality shifts (including late-evening returns, the gap that forces workers to drive), a guaranteed-ride-home policy, universal employer-paid passes, park-and-rides at Norwood and Placerville, winter-reliable equipment for Norwood Hill, an on-demand feeder within Wright's Mesa, and onboard Wi-Fi that converts the ride into usable time. The accounting rule from Section 6 applies here as well: the per-rider transit subsidy belongs inside the cost-per-worker-housed comparison, where even generous service costs a fraction of a $1 million construction subsidy.</w:t>
      </w:r>
    </w:p>
    <w:p>
      <w:pPr>
        <w:spacing w:after="150" w:before="330"/>
      </w:pPr>
      <w:r>
        <w:rPr>
          <w:b/>
          <w:bCs/>
          <w:color w:val="1D5C63"/>
          <w:sz w:val="30"/>
          <w:szCs w:val="30"/>
        </w:rPr>
        <w:t xml:space="preserve">12. Subsidized ownership and the public-employee question</w:t>
      </w:r>
    </w:p>
    <w:p>
      <w:pPr>
        <w:spacing w:after="170" w:line="296" w:lineRule="auto"/>
      </w:pPr>
      <w:r>
        <w:rPr>
          <w:color w:val="22303C"/>
          <w:sz w:val="21"/>
          <w:szCs w:val="21"/>
        </w:rPr>
        <w:t xml:space="preserve">Two questions sit at the edge of the framework and require their own analysis: where subsidized ownership belongs in a need-catching program, and how to treat below-market housing occupied by the employees of the governments that fund it. Both converge on the same structural finding — a self-reinforcing demand loop that the Region's largest housing developer has documented in its own budget records without identifying it as such.</w:t>
      </w:r>
    </w:p>
    <w:p>
      <w:pPr>
        <w:spacing w:after="110" w:before="230"/>
      </w:pPr>
      <w:r>
        <w:rPr>
          <w:b/>
          <w:bCs/>
          <w:color w:val="22303C"/>
          <w:sz w:val="24"/>
          <w:szCs w:val="24"/>
        </w:rPr>
        <w:t xml:space="preserve">12.1 Where subsidized ownership fits</w:t>
      </w:r>
    </w:p>
    <w:p>
      <w:pPr>
        <w:spacing w:after="170" w:line="296" w:lineRule="auto"/>
      </w:pPr>
      <w:r>
        <w:rPr>
          <w:color w:val="22303C"/>
          <w:sz w:val="21"/>
          <w:szCs w:val="21"/>
        </w:rPr>
        <w:t xml:space="preserve">Rental and ownership programs address different problems and should be appraised against different benchmarks. The rental queue documented in Section 5 — approximately a thousand households at below-market price points — is an access problem: households that cannot obtain local housing at market rates at all. Subsidized ownership does not serve that queue. Its purchasers are, with few exceptions, already housed locally.</w:t>
      </w:r>
    </w:p>
    <w:p>
      <w:pPr>
        <w:spacing w:after="170" w:line="296" w:lineRule="auto"/>
      </w:pPr>
      <w:r>
        <w:rPr>
          <w:color w:val="22303C"/>
          <w:sz w:val="21"/>
          <w:szCs w:val="21"/>
        </w:rPr>
        <w:t xml:space="preserve">What ownership purchases is retention and permanence. It converts a mid-career household that would otherwise leave the Region into a long-tenured resident, and — because Meadowlark-style restrictions require continued local employment — the rental unit that household vacates returns to the queue. Both effects are real; neither is measured by rental-demand evidence. Ownership should therefore be appraised against turnover and recruitment costs, and against the frontier instruments of Section 8, rather than against the rental waitlist.</w:t>
      </w:r>
    </w:p>
    <w:p>
      <w:pPr>
        <w:spacing w:after="110" w:before="230"/>
      </w:pPr>
      <w:r>
        <w:rPr>
          <w:b/>
          <w:bCs/>
          <w:color w:val="22303C"/>
          <w:sz w:val="24"/>
          <w:szCs w:val="24"/>
        </w:rPr>
        <w:t xml:space="preserve">12.2 The ownership line</w:t>
      </w:r>
    </w:p>
    <w:p>
      <w:pPr>
        <w:spacing w:after="170" w:line="296" w:lineRule="auto"/>
      </w:pPr>
      <w:r>
        <w:rPr>
          <w:color w:val="22303C"/>
          <w:sz w:val="21"/>
          <w:szCs w:val="21"/>
        </w:rPr>
        <w:t xml:space="preserve">Public cash applied to ownership housing raises an equity question that rental does not. A household purchasing at $833,586 would not, in most Colorado markets, be considered a subsidy candidate; at the upper end of the Region's ownership programs, assisted purchasers may hold incomes approaching or exceeding 200% of AMI. Presented as affordability policy, that is difficult to defend.</w:t>
      </w:r>
    </w:p>
    <w:p>
      <w:pPr>
        <w:spacing w:after="170" w:line="296" w:lineRule="auto"/>
      </w:pPr>
      <w:r>
        <w:rPr>
          <w:color w:val="22303C"/>
          <w:sz w:val="21"/>
          <w:szCs w:val="21"/>
        </w:rPr>
        <w:t xml:space="preserve">Presented accurately, however, it is generally not what the public purchased. At Meadowlark the public's approximately $137,000 per unit acquired a permanent deed restriction and a 4% annual appreciation cap on newly created stock.</w:t>
      </w:r>
      <w:r>
        <w:rPr>
          <w:b/>
          <w:bCs/>
          <w:color w:val="1D5C63"/>
          <w:sz w:val="17"/>
          <w:szCs w:val="17"/>
          <w:vertAlign w:val="superscript"/>
        </w:rPr>
        <w:t xml:space="preserve">56,57</w:t>
      </w:r>
      <w:r>
        <w:rPr>
          <w:color w:val="22303C"/>
          <w:sz w:val="21"/>
          <w:szCs w:val="21"/>
        </w:rPr>
        <w:t xml:space="preserve"> The unit leaves the free market permanently, and the discount does not accrue to the first purchaser as transferable wealth — it remains embedded in the deed, holding the unit within workforce reach for every subsequent buyer. On that construction, subsidized ownership is a restriction purchase (Section 8, instrument 2) at a premium for adding net-new inventory, and the first purchaser's income is largely incidental to the public's return.</w:t>
      </w:r>
    </w:p>
    <w:p>
      <w:pPr>
        <w:spacing w:after="170" w:line="296" w:lineRule="auto"/>
      </w:pPr>
      <w:r>
        <w:rPr>
          <w:color w:val="22303C"/>
          <w:sz w:val="21"/>
          <w:szCs w:val="21"/>
        </w:rPr>
        <w:t xml:space="preserve">That construction holds only where three conditions are satisfied. Where they are not, the equity objection is correct and the expenditure functions as a wealth transfer:</w:t>
      </w:r>
    </w:p>
    <w:p>
      <w:pPr>
        <w:pStyle w:val="ListParagraph"/>
        <w:numPr>
          <w:ilvl w:val="0"/>
          <w:numId w:val="1"/>
        </w:numPr>
        <w:spacing w:after="90" w:line="286" w:lineRule="auto"/>
      </w:pPr>
      <w:r>
        <w:rPr>
          <w:b/>
          <w:bCs/>
          <w:color w:val="22303C"/>
          <w:sz w:val="21"/>
          <w:szCs w:val="21"/>
        </w:rPr>
        <w:t xml:space="preserve">Value capture.</w:t>
      </w:r>
      <w:r>
        <w:rPr>
          <w:color w:val="22303C"/>
          <w:sz w:val="21"/>
          <w:szCs w:val="21"/>
        </w:rPr>
        <w:t xml:space="preserve"> The appreciation cap must be tight enough, and the restriction durable enough, that the subsidy remains in the unit in perpetuity. Public funds applied to uncapped or weakly capped ownership transfer public wealth to a private balance sheet at the first resale.</w:t>
      </w:r>
    </w:p>
    <w:p>
      <w:pPr>
        <w:pStyle w:val="ListParagraph"/>
        <w:numPr>
          <w:ilvl w:val="0"/>
          <w:numId w:val="1"/>
        </w:numPr>
        <w:spacing w:after="90" w:line="286" w:lineRule="auto"/>
      </w:pPr>
      <w:r>
        <w:rPr>
          <w:b/>
          <w:bCs/>
          <w:color w:val="22303C"/>
          <w:sz w:val="21"/>
          <w:szCs w:val="21"/>
        </w:rPr>
        <w:t xml:space="preserve">Flat, frontier-priced subsidy.</w:t>
      </w:r>
      <w:r>
        <w:rPr>
          <w:color w:val="22303C"/>
          <w:sz w:val="21"/>
          <w:szCs w:val="21"/>
        </w:rPr>
        <w:t xml:space="preserve"> The public contribution should be a fixed amount per restriction in the restriction-value class — approximately $120,000–$150,000 at current costs, roughly twice the InDEED benchmark to account for new construction. A subsidy that scales with the affordability gap of an expensive unit is compensation policy rather than housing policy: it directs more public money to higher-income purchasers, inverting the program's stated purpose.</w:t>
      </w:r>
    </w:p>
    <w:p>
      <w:pPr>
        <w:pStyle w:val="ListParagraph"/>
        <w:numPr>
          <w:ilvl w:val="0"/>
          <w:numId w:val="1"/>
        </w:numPr>
        <w:spacing w:after="90" w:line="286" w:lineRule="auto"/>
      </w:pPr>
      <w:r>
        <w:rPr>
          <w:b/>
          <w:bCs/>
          <w:color w:val="22303C"/>
          <w:sz w:val="21"/>
          <w:szCs w:val="21"/>
        </w:rPr>
        <w:t xml:space="preserve">Sequencing.</w:t>
      </w:r>
      <w:r>
        <w:rPr>
          <w:color w:val="22303C"/>
          <w:sz w:val="21"/>
          <w:szCs w:val="21"/>
        </w:rPr>
        <w:t xml:space="preserve"> General housing funds serve the documented rental queue first. Ownership follows demonstrated retention need; it does not precede the access problem it does not solve.</w:t>
      </w:r>
    </w:p>
    <w:p>
      <w:pPr>
        <w:spacing w:after="170" w:line="296" w:lineRule="auto"/>
      </w:pPr>
      <w:r>
        <w:rPr>
          <w:color w:val="22303C"/>
          <w:sz w:val="21"/>
          <w:szCs w:val="21"/>
        </w:rPr>
        <w:t xml:space="preserve">Applied to the record, these tests permit Meadowlark, exclude the Pinion Park eligibility design (Section 5.2), and exclude a deeply subsidized high-price variant. They also identify a distinction the record supports: deed-restricted ownership at 150–200% of AMI created through developer obligation — inclusionary requirements, density bonuses, or mitigation — raises no public-expenditure question. The issue is specifically public cash.</w:t>
      </w:r>
    </w:p>
    <w:p>
      <w:pPr>
        <w:spacing w:after="110" w:before="230"/>
      </w:pPr>
      <w:r>
        <w:rPr>
          <w:b/>
          <w:bCs/>
          <w:color w:val="22303C"/>
          <w:sz w:val="24"/>
          <w:szCs w:val="24"/>
        </w:rPr>
        <w:t xml:space="preserve">12.3 Who occupies the middle band</w:t>
      </w:r>
    </w:p>
    <w:p>
      <w:pPr>
        <w:spacing w:after="170" w:line="296" w:lineRule="auto"/>
      </w:pPr>
      <w:r>
        <w:rPr>
          <w:color w:val="22303C"/>
          <w:sz w:val="21"/>
          <w:szCs w:val="21"/>
        </w:rPr>
        <w:t xml:space="preserve">The households served by mid-band programs are not high earners. On 2024 payroll data, no major private sector in the county averages above the one-person 100%-AMI threshold of $83,700: accommodation and food service $49,332, ski and recreation $38,476, retail $45,086, health care $62,520, construction $71,456. Only finance ($189,502, 82 jobs) and professional services ($131,126, 247 jobs) clear it on a single income.</w:t>
      </w:r>
      <w:r>
        <w:rPr>
          <w:b/>
          <w:bCs/>
          <w:color w:val="1D5C63"/>
          <w:sz w:val="17"/>
          <w:szCs w:val="17"/>
          <w:vertAlign w:val="superscript"/>
        </w:rPr>
        <w:t xml:space="preserve">7</w:t>
      </w:r>
      <w:r>
        <w:rPr>
          <w:color w:val="22303C"/>
          <w:sz w:val="21"/>
          <w:szCs w:val="21"/>
        </w:rPr>
        <w:t xml:space="preserve"> The 100–150% AMI band is therefore occupied predominantly by </w:t>
      </w:r>
      <w:r>
        <w:rPr>
          <w:b/>
          <w:bCs/>
          <w:color w:val="22303C"/>
          <w:sz w:val="21"/>
          <w:szCs w:val="21"/>
        </w:rPr>
        <w:t xml:space="preserve">dual-earner households of stable-career workers.</w:t>
      </w:r>
    </w:p>
    <w:p>
      <w:pPr>
        <w:spacing w:after="170" w:line="296" w:lineRule="auto"/>
      </w:pPr>
      <w:r>
        <w:rPr>
          <w:b/>
          <w:bCs/>
          <w:color w:val="22303C"/>
          <w:sz w:val="21"/>
          <w:szCs w:val="21"/>
        </w:rPr>
        <w:t xml:space="preserve">Local government is the county's single largest source of that profile: 809 jobs — 13.3% of all county employment — at an average $64,178, with public education at $53,953.</w:t>
      </w:r>
      <w:r>
        <w:rPr>
          <w:b/>
          <w:bCs/>
          <w:color w:val="1D5C63"/>
          <w:sz w:val="17"/>
          <w:szCs w:val="17"/>
          <w:vertAlign w:val="superscript"/>
        </w:rPr>
        <w:t xml:space="preserve">83</w:t>
      </w:r>
      <w:r>
        <w:rPr>
          <w:color w:val="22303C"/>
          <w:sz w:val="21"/>
          <w:szCs w:val="21"/>
        </w:rPr>
        <w:t xml:space="preserve"> A teacher married to a deputy falls at roughly 105–125% of AMI; two municipal staff at roughly 120–135%. In ownership programs the concentration is stronger still, because mortgage qualification at $350,000–$400,000-plus prices favors stable W-2 income and employment tenure, and because programs award explicit preference: ten of Meadowlark's 29 units — 34% — were reserved for essential organizations including the fire district and the school district.</w:t>
      </w:r>
      <w:r>
        <w:rPr>
          <w:b/>
          <w:bCs/>
          <w:color w:val="1D5C63"/>
          <w:sz w:val="17"/>
          <w:szCs w:val="17"/>
          <w:vertAlign w:val="superscript"/>
        </w:rPr>
        <w:t xml:space="preserve">56</w:t>
      </w:r>
    </w:p>
    <w:p>
      <w:pPr>
        <w:spacing w:after="170" w:line="296" w:lineRule="auto"/>
      </w:pPr>
      <w:r>
        <w:rPr>
          <w:color w:val="22303C"/>
          <w:sz w:val="21"/>
          <w:szCs w:val="21"/>
        </w:rPr>
        <w:t xml:space="preserve">Where public-sector households occupy below-market units, the arrangement functions in part as compensation. That is not a criticism of the practice; public employers throughout the mountain west house their workforces, and a jurisdiction that cannot house a plow operator, a building inspector, or a teacher cannot deliver services. It is an observation about accounting: a benefit that operates as compensation should be measured and reported as compensation.</w:t>
      </w:r>
    </w:p>
    <w:p>
      <w:pPr>
        <w:spacing w:after="110" w:before="230"/>
      </w:pPr>
      <w:r>
        <w:rPr>
          <w:b/>
          <w:bCs/>
          <w:color w:val="22303C"/>
          <w:sz w:val="24"/>
          <w:szCs w:val="24"/>
        </w:rPr>
        <w:t xml:space="preserve">12.4 Quantifying the benefit</w:t>
      </w:r>
    </w:p>
    <w:p>
      <w:pPr>
        <w:spacing w:after="170" w:line="296" w:lineRule="auto"/>
      </w:pPr>
      <w:r>
        <w:rPr>
          <w:color w:val="22303C"/>
          <w:sz w:val="21"/>
          <w:szCs w:val="21"/>
        </w:rPr>
        <w:t xml:space="preserve">The appropriate metric is not subsidy per unit — what the public spends — but the annual value the household receives, grossed up for taxation and expressed against salary, in the manner of a pension contribution or health premium. The two channels behave differently:</w:t>
      </w:r>
    </w:p>
    <w:p>
      <w:pPr>
        <w:spacing w:after="170" w:line="296" w:lineRule="auto"/>
      </w:pPr>
      <w:r>
        <w:rPr>
          <w:b/>
          <w:bCs/>
          <w:color w:val="22303C"/>
          <w:sz w:val="21"/>
          <w:szCs w:val="21"/>
        </w:rPr>
        <w:t xml:space="preserve">Rental — occupancy cost relief.</w:t>
      </w:r>
      <w:r>
        <w:rPr>
          <w:color w:val="22303C"/>
          <w:sz w:val="21"/>
          <w:szCs w:val="21"/>
        </w:rPr>
        <w:t xml:space="preserve"> A single teacher at $53,953 (approximately 64% of one-person AMI) qualifies for a lower Shandoka tier at roughly $1,050–$1,200 per month against an estimated market one-bedroom of approximately $2,400. The differential is </w:t>
      </w:r>
      <w:r>
        <w:rPr>
          <w:b/>
          <w:bCs/>
          <w:color w:val="22303C"/>
          <w:sz w:val="21"/>
          <w:szCs w:val="21"/>
        </w:rPr>
        <w:t xml:space="preserve">$14,000–$17,000 per year, untaxed</w:t>
      </w:r>
      <w:r>
        <w:rPr>
          <w:color w:val="22303C"/>
          <w:sz w:val="21"/>
          <w:szCs w:val="21"/>
        </w:rPr>
        <w:t xml:space="preserve"> — equivalent to roughly $19,000–$23,000 of pre-tax salary, or </w:t>
      </w:r>
      <w:r>
        <w:rPr>
          <w:b/>
          <w:bCs/>
          <w:color w:val="22303C"/>
          <w:sz w:val="21"/>
          <w:szCs w:val="21"/>
        </w:rPr>
        <w:t xml:space="preserve">35–43% above the published salary.</w:t>
      </w:r>
      <w:r>
        <w:rPr>
          <w:b/>
          <w:bCs/>
          <w:color w:val="1D5C63"/>
          <w:sz w:val="17"/>
          <w:szCs w:val="17"/>
          <w:vertAlign w:val="superscript"/>
        </w:rPr>
        <w:t xml:space="preserve">84</w:t>
      </w:r>
      <w:r>
        <w:rPr>
          <w:color w:val="22303C"/>
          <w:sz w:val="21"/>
          <w:szCs w:val="21"/>
        </w:rPr>
        <w:t xml:space="preserve"> For a dual-earner household near $120,000 in a two-bedroom, the absolute benefit is comparable while the proportion falls to approximately 17%.</w:t>
      </w:r>
    </w:p>
    <w:p>
      <w:pPr>
        <w:spacing w:after="170" w:line="296" w:lineRule="auto"/>
      </w:pPr>
      <w:r>
        <w:rPr>
          <w:b/>
          <w:bCs/>
          <w:color w:val="22303C"/>
          <w:sz w:val="21"/>
          <w:szCs w:val="21"/>
        </w:rPr>
        <w:t xml:space="preserve">Ownership — deferred wealth rather than cost relief.</w:t>
      </w:r>
      <w:r>
        <w:rPr>
          <w:color w:val="22303C"/>
          <w:sz w:val="21"/>
          <w:szCs w:val="21"/>
        </w:rPr>
        <w:t xml:space="preserve"> At a Meadowlark three-bedroom of $833,586, mortgage, association dues, taxes, and insurance total approximately $5,300 per month — close to the market rent for an equivalent unit. On a monthly basis the benefit is modest. Its value lies almost entirely in </w:t>
      </w:r>
      <w:r>
        <w:rPr>
          <w:b/>
          <w:bCs/>
          <w:color w:val="22303C"/>
          <w:sz w:val="21"/>
          <w:szCs w:val="21"/>
        </w:rPr>
        <w:t xml:space="preserve">equity accumulation on an asset the household could not otherwise have acquired</w:t>
      </w:r>
      <w:r>
        <w:rPr>
          <w:color w:val="22303C"/>
          <w:sz w:val="21"/>
          <w:szCs w:val="21"/>
        </w:rPr>
        <w:t xml:space="preserve">: approximately $33,000 per year of capped appreciation plus early principal reduction of approximately $11,600, or </w:t>
      </w:r>
      <w:r>
        <w:rPr>
          <w:b/>
          <w:bCs/>
          <w:color w:val="22303C"/>
          <w:sz w:val="21"/>
          <w:szCs w:val="21"/>
        </w:rPr>
        <w:t xml:space="preserve">$40,000–$45,000 per year of net worth accrual</w:t>
      </w:r>
      <w:r>
        <w:rPr>
          <w:color w:val="22303C"/>
          <w:sz w:val="21"/>
          <w:szCs w:val="21"/>
        </w:rPr>
        <w:t xml:space="preserve">, against a one-time public cost of approximately $137,000 (roughly $8,000 per year annualized).</w:t>
      </w:r>
      <w:r>
        <w:rPr>
          <w:b/>
          <w:bCs/>
          <w:color w:val="1D5C63"/>
          <w:sz w:val="17"/>
          <w:szCs w:val="17"/>
          <w:vertAlign w:val="superscript"/>
        </w:rPr>
        <w:t xml:space="preserve">85</w:t>
      </w:r>
      <w:r>
        <w:rPr>
          <w:color w:val="22303C"/>
          <w:sz w:val="21"/>
          <w:szCs w:val="21"/>
        </w:rPr>
        <w:t xml:space="preserve"> Functionally this is a deferred benefit of the same character as a pension contribution — and unlike a pension contribution, it appears in no budget document.</w:t>
      </w:r>
    </w:p>
    <w:p>
      <w:pPr>
        <w:spacing w:after="170" w:line="296" w:lineRule="auto"/>
      </w:pPr>
      <w:r>
        <w:rPr>
          <w:color w:val="22303C"/>
          <w:sz w:val="21"/>
          <w:szCs w:val="21"/>
        </w:rPr>
        <w:t xml:space="preserve">The divergence between public cost and household benefit is itself a decision rule. Meadowlark delivered approximately $40,000 of annual household value for approximately $8,000 of annualized public cost; Voodoo delivers roughly $15,000 of rent relief for approximately $45,000 of annualized public cost. </w:t>
      </w:r>
      <w:r>
        <w:rPr>
          <w:b/>
          <w:bCs/>
          <w:color w:val="22303C"/>
          <w:sz w:val="21"/>
          <w:szCs w:val="21"/>
        </w:rPr>
        <w:t xml:space="preserve">Benefit delivered per public dollar varies by more than twenty-fold across instruments</w:t>
      </w:r>
      <w:r>
        <w:rPr>
          <w:color w:val="22303C"/>
          <w:sz w:val="21"/>
          <w:szCs w:val="21"/>
        </w:rPr>
        <w:t xml:space="preserve">, and tracks the Section 8 frontier precisely.</w:t>
      </w:r>
    </w:p>
    <w:p>
      <w:pPr>
        <w:spacing w:after="110" w:before="230"/>
      </w:pPr>
      <w:r>
        <w:rPr>
          <w:b/>
          <w:bCs/>
          <w:color w:val="22303C"/>
          <w:sz w:val="24"/>
          <w:szCs w:val="24"/>
        </w:rPr>
        <w:t xml:space="preserve">12.5 The municipal housing loop</w:t>
      </w:r>
    </w:p>
    <w:p>
      <w:pPr>
        <w:spacing w:after="170" w:line="296" w:lineRule="auto"/>
      </w:pPr>
      <w:r>
        <w:rPr>
          <w:color w:val="22303C"/>
          <w:sz w:val="21"/>
          <w:szCs w:val="21"/>
        </w:rPr>
        <w:t xml:space="preserve">The Town of Telluride is simultaneously the Region's largest housing developer, one of its largest employers, and the entity that sets both salary schedules and rents. Its own budget records document what that combination produces over a decade:</w:t>
      </w:r>
    </w:p>
    <w:p>
      <w:pPr>
        <w:spacing w:after="11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1900"/>
        <w:gridCol w:w="1750"/>
      </w:tblGrid>
      <w:tr>
        <w:tc>
          <w:tcPr>
            <w:tcW w:type="dxa" w:w="34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Measure</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2015</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2025</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Change</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Total expenditures, all funds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$36.38M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$99.90M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+175%</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Authorized full-time equivalents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70.63</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not less than 99.6</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+41%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General Fund personnel cost</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$5.49M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$11.58M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department FTE</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5.00</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8.48</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+70%</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Bonded housing debt</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$81.7M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voter-approved</w:t>
            </w:r>
          </w:p>
        </w:tc>
      </w:tr>
    </w:tbl>
    <w:p>
      <w:pPr>
        <w:spacing w:after="110"/>
      </w:pPr>
    </w:p>
    <w:p>
      <w:pPr>
        <w:spacing w:after="170" w:line="296" w:lineRule="auto"/>
      </w:pPr>
      <w:r>
        <w:rPr>
          <w:color w:val="22303C"/>
          <w:sz w:val="21"/>
          <w:szCs w:val="21"/>
        </w:rPr>
        <w:t xml:space="preserve">The 2025 budget book does not print a town-wide FTE total; the figure above is the sum of labeled segments in its staffing chart, and the actual total is higher.</w:t>
      </w:r>
      <w:r>
        <w:rPr>
          <w:b/>
          <w:bCs/>
          <w:color w:val="1D5C63"/>
          <w:sz w:val="17"/>
          <w:szCs w:val="17"/>
          <w:vertAlign w:val="superscript"/>
        </w:rPr>
        <w:t xml:space="preserve">86</w:t>
      </w:r>
      <w:r>
        <w:rPr>
          <w:color w:val="22303C"/>
          <w:sz w:val="21"/>
          <w:szCs w:val="21"/>
        </w:rPr>
        <w:t xml:space="preserve"> Alongside these figures, the Council's adopted goals state, twice: </w:t>
      </w:r>
      <w:r>
        <w:rPr>
          <w:b/>
          <w:bCs/>
          <w:color w:val="22303C"/>
          <w:sz w:val="21"/>
          <w:szCs w:val="21"/>
        </w:rPr>
        <w:t xml:space="preserve">“Continue to work toward the goal of housing 30% + of Town of Telluride employees in dedicated Town employee units,”</w:t>
      </w:r>
      <w:r>
        <w:rPr>
          <w:color w:val="22303C"/>
          <w:sz w:val="21"/>
          <w:szCs w:val="21"/>
        </w:rPr>
        <w:t xml:space="preserve"> accompanied by the objective of being “the employer of choice in the region.” Neither statement appears in the 2015 or 2020 budget books, which contain no reference to housing Town employees at all.</w:t>
      </w:r>
      <w:r>
        <w:rPr>
          <w:b/>
          <w:bCs/>
          <w:color w:val="1D5C63"/>
          <w:sz w:val="17"/>
          <w:szCs w:val="17"/>
          <w:vertAlign w:val="superscript"/>
        </w:rPr>
        <w:t xml:space="preserve">87</w:t>
      </w:r>
    </w:p>
    <w:p>
      <w:pPr>
        <w:spacing w:after="170" w:line="296" w:lineRule="auto"/>
      </w:pPr>
      <w:r>
        <w:rPr>
          <w:color w:val="22303C"/>
          <w:sz w:val="21"/>
          <w:szCs w:val="21"/>
        </w:rPr>
        <w:t xml:space="preserve">Four mechanisms connect these facts, and each is self-reinforcing:</w:t>
      </w:r>
    </w:p>
    <w:p>
      <w:pPr>
        <w:pStyle w:val="ListParagraph"/>
        <w:numPr>
          <w:ilvl w:val="0"/>
          <w:numId w:val="1"/>
        </w:numPr>
        <w:spacing w:after="90" w:line="286" w:lineRule="auto"/>
      </w:pPr>
      <w:r>
        <w:rPr>
          <w:b/>
          <w:bCs/>
          <w:color w:val="22303C"/>
          <w:sz w:val="21"/>
          <w:szCs w:val="21"/>
        </w:rPr>
        <w:t xml:space="preserve">Staffing.</w:t>
      </w:r>
      <w:r>
        <w:rPr>
          <w:color w:val="22303C"/>
          <w:sz w:val="21"/>
          <w:szCs w:val="21"/>
        </w:rPr>
        <w:t xml:space="preserve"> Operating and constructing a housing portfolio requires staff; the housing department has grown 70%. Those employees work in a market where prevailing wages do not support prevailing rents, and are therefore themselves candidates for the housing they administer. </w:t>
      </w:r>
      <w:r>
        <w:rPr>
          <w:b/>
          <w:bCs/>
          <w:color w:val="22303C"/>
          <w:sz w:val="21"/>
          <w:szCs w:val="21"/>
        </w:rPr>
        <w:t xml:space="preserve">The program generates a measurable share of its own demand.</w:t>
      </w:r>
    </w:p>
    <w:p>
      <w:pPr>
        <w:pStyle w:val="ListParagraph"/>
        <w:numPr>
          <w:ilvl w:val="0"/>
          <w:numId w:val="1"/>
        </w:numPr>
        <w:spacing w:after="90" w:line="286" w:lineRule="auto"/>
      </w:pPr>
      <w:r>
        <w:rPr>
          <w:b/>
          <w:bCs/>
          <w:color w:val="22303C"/>
          <w:sz w:val="21"/>
          <w:szCs w:val="21"/>
        </w:rPr>
        <w:t xml:space="preserve">Service population.</w:t>
      </w:r>
      <w:r>
        <w:rPr>
          <w:color w:val="22303C"/>
          <w:sz w:val="21"/>
          <w:szCs w:val="21"/>
        </w:rPr>
        <w:t xml:space="preserve"> Each housed household generates additional local service employment, producing the 1.10–1.35 housing-need multiplier of Section 10. The multiplier applies to public-sector households exactly as to private ones.</w:t>
      </w:r>
    </w:p>
    <w:p>
      <w:pPr>
        <w:pStyle w:val="ListParagraph"/>
        <w:numPr>
          <w:ilvl w:val="0"/>
          <w:numId w:val="1"/>
        </w:numPr>
        <w:spacing w:after="90" w:line="286" w:lineRule="auto"/>
      </w:pPr>
      <w:r>
        <w:rPr>
          <w:b/>
          <w:bCs/>
          <w:color w:val="22303C"/>
          <w:sz w:val="21"/>
          <w:szCs w:val="21"/>
        </w:rPr>
        <w:t xml:space="preserve">Compensation.</w:t>
      </w:r>
      <w:r>
        <w:rPr>
          <w:color w:val="22303C"/>
          <w:sz w:val="21"/>
          <w:szCs w:val="21"/>
        </w:rPr>
        <w:t xml:space="preserve"> Where local housing costs impede recruitment, an employer may respond with salary or with housing. A $20,000 salary adjustment appears in a published schedule, competes against other uses within the same budget envelope, and is examined in public session. A housing benefit of equivalent value appears in no compensation document and competes against nothing. </w:t>
      </w:r>
      <w:r>
        <w:rPr>
          <w:b/>
          <w:bCs/>
          <w:color w:val="22303C"/>
          <w:sz w:val="21"/>
          <w:szCs w:val="21"/>
        </w:rPr>
        <w:t xml:space="preserve">The two paths to the same compensation outcome face materially different scrutiny, which reliably selects the unmeasured one</w:t>
      </w:r>
      <w:r>
        <w:rPr>
          <w:color w:val="22303C"/>
          <w:sz w:val="21"/>
          <w:szCs w:val="21"/>
        </w:rPr>
        <w:t xml:space="preserve"> — and each unit so committed enlarges the portfolio, and therefore the department, and therefore the workforce requiring housing.</w:t>
      </w:r>
    </w:p>
    <w:p>
      <w:pPr>
        <w:pStyle w:val="ListParagraph"/>
        <w:numPr>
          <w:ilvl w:val="0"/>
          <w:numId w:val="1"/>
        </w:numPr>
        <w:spacing w:after="90" w:line="286" w:lineRule="auto"/>
      </w:pPr>
      <w:r>
        <w:rPr>
          <w:b/>
          <w:bCs/>
          <w:color w:val="22303C"/>
          <w:sz w:val="21"/>
          <w:szCs w:val="21"/>
        </w:rPr>
        <w:t xml:space="preserve">Revenue.</w:t>
      </w:r>
      <w:r>
        <w:rPr>
          <w:color w:val="22303C"/>
          <w:sz w:val="21"/>
          <w:szCs w:val="21"/>
        </w:rPr>
        <w:t xml:space="preserve"> The portfolio does not cover its own debt service; coverage across the analyzed projects is approximately 0.70×, requiring roughly $1.1 million per year of subsidy from tax revenues that are themselves functions of visitor spending and commercial activity — which require workers, who require housing.</w:t>
      </w:r>
      <w:r>
        <w:rPr>
          <w:b/>
          <w:bCs/>
          <w:color w:val="1D5C63"/>
          <w:sz w:val="17"/>
          <w:szCs w:val="17"/>
          <w:vertAlign w:val="superscript"/>
        </w:rPr>
        <w:t xml:space="preserve">88</w:t>
      </w:r>
      <w:r>
        <w:rPr>
          <w:color w:val="22303C"/>
          <w:sz w:val="21"/>
          <w:szCs w:val="21"/>
        </w:rPr>
        <w:t xml:space="preserve"> </w:t>
      </w:r>
      <w:r>
        <w:rPr>
          <w:b/>
          <w:bCs/>
          <w:color w:val="22303C"/>
          <w:sz w:val="21"/>
          <w:szCs w:val="21"/>
        </w:rPr>
        <w:t xml:space="preserve">The financing structure makes the Town fiscally dependent on the growth its housing program is intended to accommodate.</w:t>
      </w:r>
    </w:p>
    <w:p>
      <w:pPr>
        <w:spacing w:after="170" w:line="296" w:lineRule="auto"/>
      </w:pPr>
      <w:r>
        <w:rPr>
          <w:b/>
          <w:bCs/>
          <w:color w:val="22303C"/>
          <w:sz w:val="21"/>
          <w:szCs w:val="21"/>
        </w:rPr>
        <w:t xml:space="preserve">The form of the target is the accelerator.</w:t>
      </w:r>
      <w:r>
        <w:rPr>
          <w:color w:val="22303C"/>
          <w:sz w:val="21"/>
          <w:szCs w:val="21"/>
        </w:rPr>
        <w:t xml:space="preserve"> The adopted objective is expressed as a percentage of a growing denominator. Each position added to the payroll adds approximately 0.3 units to the housing obligation; each unit added enlarges the department that administers it, which adds positions. A ratio target of this construction has no fixed point: it recedes as the organization grows and cannot be achieved and closed. This is the identical structural defect the report identifies in the Region's broader housing target (Section 2) — need defined as a share of a growing quantity rather than as an absolute number — reproduced at municipal scale.</w:t>
      </w:r>
    </w:p>
    <w:p>
      <w:pPr>
        <w:spacing w:after="170" w:line="296" w:lineRule="auto"/>
      </w:pPr>
      <w:r>
        <w:rPr>
          <w:b/>
          <w:bCs/>
          <w:color w:val="22303C"/>
          <w:sz w:val="21"/>
          <w:szCs w:val="21"/>
        </w:rPr>
        <w:t xml:space="preserve">The magnitude is not disclosed.</w:t>
      </w:r>
      <w:r>
        <w:rPr>
          <w:color w:val="22303C"/>
          <w:sz w:val="21"/>
          <w:szCs w:val="21"/>
        </w:rPr>
        <w:t xml:space="preserve"> No budget document states the number of units currently occupied by Town employees, the dollar value of the benefit, or the capital cost of reaching the 30% objective. On the Section 12.4 method, housing approximately thirty employees represents </w:t>
      </w:r>
      <w:r>
        <w:rPr>
          <w:b/>
          <w:bCs/>
          <w:color w:val="22303C"/>
          <w:sz w:val="21"/>
          <w:szCs w:val="21"/>
        </w:rPr>
        <w:t xml:space="preserve">$450,000–$600,000 per year of untaxed in-kind compensation — approximately 3–4% of the Town's $15.18 million all-funds labor cost</w:t>
      </w:r>
      <w:r>
        <w:rPr>
          <w:color w:val="22303C"/>
          <w:sz w:val="21"/>
          <w:szCs w:val="21"/>
        </w:rPr>
        <w:t xml:space="preserve"> — reported nowhere. The capital required to deliver those thirty units ranges from </w:t>
      </w:r>
      <w:r>
        <w:rPr>
          <w:b/>
          <w:bCs/>
          <w:color w:val="22303C"/>
          <w:sz w:val="21"/>
          <w:szCs w:val="21"/>
        </w:rPr>
        <w:t xml:space="preserve">approximately $4.1 million at Meadowlark-class delivery to approximately $28.7 million at Voodoo-class delivery: the same thirty employees housed, a difference of $24.6 million</w:t>
      </w:r>
      <w:r>
        <w:rPr>
          <w:color w:val="22303C"/>
          <w:sz w:val="21"/>
          <w:szCs w:val="21"/>
        </w:rPr>
        <w:t xml:space="preserve">, and no published statement of which figure the Town intends to spend.</w:t>
      </w:r>
      <w:r>
        <w:rPr>
          <w:b/>
          <w:bCs/>
          <w:color w:val="1D5C63"/>
          <w:sz w:val="17"/>
          <w:szCs w:val="17"/>
          <w:vertAlign w:val="superscript"/>
        </w:rPr>
        <w:t xml:space="preserve">89</w:t>
      </w:r>
    </w:p>
    <w:p>
      <w:pPr>
        <w:spacing w:after="110" w:before="230"/>
      </w:pPr>
      <w:r>
        <w:rPr>
          <w:b/>
          <w:bCs/>
          <w:color w:val="22303C"/>
          <w:sz w:val="24"/>
          <w:szCs w:val="24"/>
        </w:rPr>
        <w:t xml:space="preserve">12.6 The next iteration: the Carhenge proposal</w:t>
      </w:r>
    </w:p>
    <w:p>
      <w:pPr>
        <w:spacing w:after="170" w:line="296" w:lineRule="auto"/>
      </w:pPr>
      <w:r>
        <w:rPr>
          <w:color w:val="22303C"/>
          <w:sz w:val="21"/>
          <w:szCs w:val="21"/>
        </w:rPr>
        <w:t xml:space="preserve">The loop's next turn is already before the Town. The </w:t>
      </w:r>
      <w:r>
        <w:rPr>
          <w:b/>
          <w:bCs/>
          <w:color w:val="22303C"/>
          <w:sz w:val="21"/>
          <w:szCs w:val="21"/>
        </w:rPr>
        <w:t xml:space="preserve">Carhenge Lot Redevelopment</w:t>
      </w:r>
      <w:r>
        <w:rPr>
          <w:color w:val="22303C"/>
          <w:sz w:val="21"/>
          <w:szCs w:val="21"/>
        </w:rPr>
        <w:t xml:space="preserve"> would convert a Town-owned surface parking lot at the base of Lift 7 — Lots 34 and 34B, among the last large publicly held development sites within Telluride — into approximately </w:t>
      </w:r>
      <w:r>
        <w:rPr>
          <w:b/>
          <w:bCs/>
          <w:color w:val="22303C"/>
          <w:sz w:val="21"/>
          <w:szCs w:val="21"/>
        </w:rPr>
        <w:t xml:space="preserve">225 deed-restricted housing units</w:t>
      </w:r>
      <w:r>
        <w:rPr>
          <w:color w:val="22303C"/>
          <w:sz w:val="21"/>
          <w:szCs w:val="21"/>
        </w:rPr>
        <w:t xml:space="preserve">, roughly 9,900 square feet of commercial space, and approximately </w:t>
      </w:r>
      <w:r>
        <w:rPr>
          <w:b/>
          <w:bCs/>
          <w:color w:val="22303C"/>
          <w:sz w:val="21"/>
          <w:szCs w:val="21"/>
        </w:rPr>
        <w:t xml:space="preserve">370 underground parking stalls</w:t>
      </w:r>
      <w:r>
        <w:rPr>
          <w:color w:val="22303C"/>
          <w:sz w:val="21"/>
          <w:szCs w:val="21"/>
        </w:rPr>
        <w:t xml:space="preserve">. The Town, with Design Workshop, advanced the concept through a Planning and Zoning work session in March 2026 and Historic and Architectural Review Commission work sessions in May 2026; the PUD, subdivision, and Large Scale Activity applications follow.</w:t>
      </w:r>
      <w:r>
        <w:rPr>
          <w:b/>
          <w:bCs/>
          <w:color w:val="1D5C63"/>
          <w:sz w:val="17"/>
          <w:szCs w:val="17"/>
          <w:vertAlign w:val="superscript"/>
        </w:rPr>
        <w:t xml:space="preserve">90</w:t>
      </w:r>
    </w:p>
    <w:p>
      <w:pPr>
        <w:spacing w:after="170" w:line="296" w:lineRule="auto"/>
      </w:pPr>
      <w:r>
        <w:rPr>
          <w:color w:val="22303C"/>
          <w:sz w:val="21"/>
          <w:szCs w:val="21"/>
        </w:rPr>
        <w:t xml:space="preserve">Three features of the proposal bear directly on the preceding analysis.</w:t>
      </w:r>
    </w:p>
    <w:p>
      <w:pPr>
        <w:spacing w:after="170" w:line="296" w:lineRule="auto"/>
      </w:pPr>
      <w:r>
        <w:rPr>
          <w:b/>
          <w:bCs/>
          <w:color w:val="22303C"/>
          <w:sz w:val="21"/>
          <w:szCs w:val="21"/>
        </w:rPr>
        <w:t xml:space="preserve">Scale.</w:t>
      </w:r>
      <w:r>
        <w:rPr>
          <w:color w:val="22303C"/>
          <w:sz w:val="21"/>
          <w:szCs w:val="21"/>
        </w:rPr>
        <w:t xml:space="preserve"> At 225 units, Carhenge would add nearly as much housing as the Town's entire existing 251-unit portfolio, in a single action. The department that administers that portfolio currently stands at 8.48 FTE for 185 rental units plus a boardinghouse; approximately doubling the portfolio implies approximately doubling the department, and each position so added is itself a household requiring housing in this market. </w:t>
      </w:r>
      <w:r>
        <w:rPr>
          <w:b/>
          <w:bCs/>
          <w:color w:val="22303C"/>
          <w:sz w:val="21"/>
          <w:szCs w:val="21"/>
        </w:rPr>
        <w:t xml:space="preserve">The proposal is therefore not merely a project within the loop of Section 12.5 — at this scale it is the loop's largest single accelerant.</w:t>
      </w:r>
    </w:p>
    <w:p>
      <w:pPr>
        <w:spacing w:after="170" w:line="296" w:lineRule="auto"/>
      </w:pPr>
      <w:r>
        <w:rPr>
          <w:b/>
          <w:bCs/>
          <w:color w:val="22303C"/>
          <w:sz w:val="21"/>
          <w:szCs w:val="21"/>
        </w:rPr>
        <w:t xml:space="preserve">Cost.</w:t>
      </w:r>
      <w:r>
        <w:rPr>
          <w:color w:val="22303C"/>
          <w:sz w:val="21"/>
          <w:szCs w:val="21"/>
        </w:rPr>
        <w:t xml:space="preserve"> The Town has published no cost estimate. On the Livable Telluride model — approximately 150,100 square feet of residential and 9,900 of commercial construction at $1,000 per square foot, $10 million of land value, and $44.4 million of underground parking at approximately $120,000 per stall — the project totals approximately </w:t>
      </w:r>
      <w:r>
        <w:rPr>
          <w:b/>
          <w:bCs/>
          <w:color w:val="22303C"/>
          <w:sz w:val="21"/>
          <w:szCs w:val="21"/>
        </w:rPr>
        <w:t xml:space="preserve">$214.4 million, or roughly $953,000 per unit</w:t>
      </w:r>
      <w:r>
        <w:rPr>
          <w:color w:val="22303C"/>
          <w:sz w:val="21"/>
          <w:szCs w:val="21"/>
        </w:rPr>
        <w:t xml:space="preserve">: within a few thousand dollars of Voodoo's demonstrated all-in public cost, and two to three times the Rule 5 break-even ceiling of $300,000–$450,000 per bed.</w:t>
      </w:r>
      <w:r>
        <w:rPr>
          <w:b/>
          <w:bCs/>
          <w:color w:val="1D5C63"/>
          <w:sz w:val="17"/>
          <w:szCs w:val="17"/>
          <w:vertAlign w:val="superscript"/>
        </w:rPr>
        <w:t xml:space="preserve">90</w:t>
      </w:r>
      <w:r>
        <w:rPr>
          <w:color w:val="22303C"/>
          <w:sz w:val="21"/>
          <w:szCs w:val="21"/>
        </w:rPr>
        <w:t xml:space="preserve"> The parking component alone, at approximately 21% of total cost, represents roughly </w:t>
      </w:r>
      <w:r>
        <w:rPr>
          <w:b/>
          <w:bCs/>
          <w:color w:val="22303C"/>
          <w:sz w:val="21"/>
          <w:szCs w:val="21"/>
        </w:rPr>
        <w:t xml:space="preserve">$197,000 per unit before a single residential square foot is built</w:t>
      </w:r>
      <w:r>
        <w:rPr>
          <w:color w:val="22303C"/>
          <w:sz w:val="21"/>
          <w:szCs w:val="21"/>
        </w:rPr>
        <w:t xml:space="preserve"> — the Shandoka Lot L pattern that Section 13 lists as an independent condition warranting rejection.</w:t>
      </w:r>
    </w:p>
    <w:p>
      <w:pPr>
        <w:spacing w:after="170" w:line="296" w:lineRule="auto"/>
      </w:pPr>
      <w:r>
        <w:rPr>
          <w:b/>
          <w:bCs/>
          <w:color w:val="22303C"/>
          <w:sz w:val="21"/>
          <w:szCs w:val="21"/>
        </w:rPr>
        <w:t xml:space="preserve">Proportion.</w:t>
      </w:r>
      <w:r>
        <w:rPr>
          <w:color w:val="22303C"/>
          <w:sz w:val="21"/>
          <w:szCs w:val="21"/>
        </w:rPr>
        <w:t xml:space="preserve"> Section 16 sizes the Region's entire need-catching program at approximately 250–400 beds for $15–25 million over a decade. At an average unit size of roughly 725 net square feet, Carhenge's 225 units represent on the order of 290–340 bedrooms. </w:t>
      </w:r>
      <w:r>
        <w:rPr>
          <w:b/>
          <w:bCs/>
          <w:color w:val="22303C"/>
          <w:sz w:val="21"/>
          <w:szCs w:val="21"/>
        </w:rPr>
        <w:t xml:space="preserve">The single proposal therefore delivers a bed count comparable to the entire regional program at approximately ten times its cost.</w:t>
      </w:r>
      <w:r>
        <w:rPr>
          <w:color w:val="22303C"/>
          <w:sz w:val="21"/>
          <w:szCs w:val="21"/>
        </w:rPr>
        <w:t xml:space="preserve"> Measured against the Town's own employee-housing objective, the arithmetic is equally stark: housing thirty Town employees within Carhenge would consume approximately $28.6 million of public capital, against approximately $4.1 million to house the same thirty at Meadowlark-class delivery.</w:t>
      </w:r>
    </w:p>
    <w:p>
      <w:pPr>
        <w:spacing w:after="170" w:line="296" w:lineRule="auto"/>
      </w:pPr>
      <w:r>
        <w:rPr>
          <w:b/>
          <w:bCs/>
          <w:color w:val="22303C"/>
          <w:sz w:val="21"/>
          <w:szCs w:val="21"/>
        </w:rPr>
        <w:t xml:space="preserve">This is not an argument against the site.</w:t>
      </w:r>
      <w:r>
        <w:rPr>
          <w:color w:val="22303C"/>
          <w:sz w:val="21"/>
          <w:szCs w:val="21"/>
        </w:rPr>
        <w:t xml:space="preserve"> Carhenge is publicly owned — the single variable that made Meadowlark inexpensive — and it sits at the base of a lift and within walking distance of the gondola, which is genuinely superior siting for reducing vehicle dependence. Deed-restricted housing there would serve the right households in the right place. The framework's objection is confined to the cost structure: a $44.4 million subterranean garage inside a housing pro forma, and a per-unit cost at the top of the Region's demonstrated range. </w:t>
      </w:r>
      <w:r>
        <w:rPr>
          <w:b/>
          <w:bCs/>
          <w:color w:val="22303C"/>
          <w:sz w:val="21"/>
          <w:szCs w:val="21"/>
        </w:rPr>
        <w:t xml:space="preserve">Sever the parking and fund it as the transportation asset it is; build to Meadowlark or Village Court specification rather than bespoke; and the same site, at the same unit count, can pass the framework.</w:t>
      </w:r>
      <w:r>
        <w:rPr>
          <w:color w:val="22303C"/>
          <w:sz w:val="21"/>
          <w:szCs w:val="21"/>
        </w:rPr>
        <w:t xml:space="preserve"> The proposal as presented does not: on the Section 14 scorecard it fails Rule 5 outright and triggers the structured-parking rejection condition, before questions of frontier exhaustion (Rule 4), evacuation envelope (Rule 8), and its approximately 0.03–0.05 MGD draw on the regional plant's remaining headroom are reached.</w:t>
      </w:r>
    </w:p>
    <w:p>
      <w:pPr>
        <w:spacing w:after="110" w:before="230"/>
      </w:pPr>
      <w:r>
        <w:rPr>
          <w:b/>
          <w:bCs/>
          <w:color w:val="22303C"/>
          <w:sz w:val="24"/>
          <w:szCs w:val="24"/>
        </w:rPr>
        <w:t xml:space="preserve">12.7 Six circuit breakers</w:t>
      </w:r>
    </w:p>
    <w:p>
      <w:pPr>
        <w:spacing w:after="170" w:line="296" w:lineRule="auto"/>
      </w:pPr>
      <w:r>
        <w:rPr>
          <w:color w:val="22303C"/>
          <w:sz w:val="21"/>
          <w:szCs w:val="21"/>
        </w:rPr>
        <w:t xml:space="preserve">The loop is structural, not the product of any decision made in error, and it will not resolve through good intentions. Six measures interrupt it, in descending order of leverage:</w:t>
      </w:r>
    </w:p>
    <w:p>
      <w:pPr>
        <w:pStyle w:val="ListParagraph"/>
        <w:numPr>
          <w:ilvl w:val="0"/>
          <w:numId w:val="1"/>
        </w:numPr>
        <w:spacing w:after="90" w:line="286" w:lineRule="auto"/>
      </w:pPr>
      <w:r>
        <w:rPr>
          <w:b/>
          <w:bCs/>
          <w:color w:val="22303C"/>
          <w:sz w:val="21"/>
          <w:szCs w:val="21"/>
        </w:rPr>
        <w:t xml:space="preserve">1. Price the benefit and place it in the compensation conversation.</w:t>
      </w:r>
      <w:r>
        <w:rPr>
          <w:color w:val="22303C"/>
          <w:sz w:val="21"/>
          <w:szCs w:val="21"/>
        </w:rPr>
        <w:t xml:space="preserve"> Publish the imputed annual value of below-market occupancy by employer class, and present it alongside the salary schedule when compensation is set. This forbids nothing; it simply makes the housing path and the salary path face equal scrutiny, which is the condition under which the compensation mechanism stops selecting the invisible option. </w:t>
      </w:r>
      <w:r>
        <w:rPr>
          <w:b/>
          <w:bCs/>
          <w:color w:val="22303C"/>
          <w:sz w:val="21"/>
          <w:szCs w:val="21"/>
        </w:rPr>
        <w:t xml:space="preserve">This is the single highest-leverage measure, and it is pure disclosure.</w:t>
      </w:r>
    </w:p>
    <w:p>
      <w:pPr>
        <w:pStyle w:val="ListParagraph"/>
        <w:numPr>
          <w:ilvl w:val="0"/>
          <w:numId w:val="1"/>
        </w:numPr>
        <w:spacing w:after="90" w:line="286" w:lineRule="auto"/>
      </w:pPr>
      <w:r>
        <w:rPr>
          <w:b/>
          <w:bCs/>
          <w:color w:val="22303C"/>
          <w:sz w:val="21"/>
          <w:szCs w:val="21"/>
        </w:rPr>
        <w:t xml:space="preserve">2. Convert ratio targets to absolute counts.</w:t>
      </w:r>
      <w:r>
        <w:rPr>
          <w:color w:val="22303C"/>
          <w:sz w:val="21"/>
          <w:szCs w:val="21"/>
        </w:rPr>
        <w:t xml:space="preserve"> Replace “30% of employees” with a fixed number of dedicated units, adopted by resolution, with a completion date. An absolute target can be achieved, financed, and closed; a percentage target cannot.</w:t>
      </w:r>
    </w:p>
    <w:p>
      <w:pPr>
        <w:pStyle w:val="ListParagraph"/>
        <w:numPr>
          <w:ilvl w:val="0"/>
          <w:numId w:val="1"/>
        </w:numPr>
        <w:spacing w:after="90" w:line="286" w:lineRule="auto"/>
      </w:pPr>
      <w:r>
        <w:rPr>
          <w:b/>
          <w:bCs/>
          <w:color w:val="22303C"/>
          <w:sz w:val="21"/>
          <w:szCs w:val="21"/>
        </w:rPr>
        <w:t xml:space="preserve">3. Match the funding source to the beneficiary.</w:t>
      </w:r>
      <w:r>
        <w:rPr>
          <w:color w:val="22303C"/>
          <w:sz w:val="21"/>
          <w:szCs w:val="21"/>
        </w:rPr>
        <w:t xml:space="preserve"> Housing for a public employer's own workforce is funded from that employer's budget, where it competes directly against payroll, rather than from the community housing fund. This preserves the community fund for the private service workforce at the lower income tiers — the households with no alternative employer to turn to — and forces each employer to weigh housing against salary within one envelope.</w:t>
      </w:r>
    </w:p>
    <w:p>
      <w:pPr>
        <w:pStyle w:val="ListParagraph"/>
        <w:numPr>
          <w:ilvl w:val="0"/>
          <w:numId w:val="1"/>
        </w:numPr>
        <w:spacing w:after="90" w:line="286" w:lineRule="auto"/>
      </w:pPr>
      <w:r>
        <w:rPr>
          <w:b/>
          <w:bCs/>
          <w:color w:val="22303C"/>
          <w:sz w:val="21"/>
          <w:szCs w:val="21"/>
        </w:rPr>
        <w:t xml:space="preserve">4. Prefer instruments that do not require administration.</w:t>
      </w:r>
      <w:r>
        <w:rPr>
          <w:color w:val="22303C"/>
          <w:sz w:val="21"/>
          <w:szCs w:val="21"/>
        </w:rPr>
        <w:t xml:space="preserve"> A purchased deed restriction adds no permanent staff; a constructed and operated portfolio adds staff in perpetuity. The Section 8 frontier instruments are also the loop-breaking instruments, for an entirely independent reason — </w:t>
      </w:r>
      <w:r>
        <w:rPr>
          <w:b/>
          <w:bCs/>
          <w:color w:val="22303C"/>
          <w:sz w:val="21"/>
          <w:szCs w:val="21"/>
        </w:rPr>
        <w:t xml:space="preserve">instrument choice determines whether the program self-amplifies.</w:t>
      </w:r>
    </w:p>
    <w:p>
      <w:pPr>
        <w:pStyle w:val="ListParagraph"/>
        <w:numPr>
          <w:ilvl w:val="0"/>
          <w:numId w:val="1"/>
        </w:numPr>
        <w:spacing w:after="90" w:line="286" w:lineRule="auto"/>
      </w:pPr>
      <w:r>
        <w:rPr>
          <w:b/>
          <w:bCs/>
          <w:color w:val="22303C"/>
          <w:sz w:val="21"/>
          <w:szCs w:val="21"/>
        </w:rPr>
        <w:t xml:space="preserve">5. Count municipal employment in the capacity ledger.</w:t>
      </w:r>
      <w:r>
        <w:rPr>
          <w:color w:val="22303C"/>
          <w:sz w:val="21"/>
          <w:szCs w:val="21"/>
        </w:rPr>
        <w:t xml:space="preserve"> Public-sector hiring generates housing demand exactly as private-sector hiring does. The Recommendation R2 ledger should include each government's own workforce growth, so that the Region's largest employers are subject to the accounting they apply to applicants.</w:t>
      </w:r>
    </w:p>
    <w:p>
      <w:pPr>
        <w:pStyle w:val="ListParagraph"/>
        <w:numPr>
          <w:ilvl w:val="0"/>
          <w:numId w:val="1"/>
        </w:numPr>
        <w:spacing w:after="90" w:line="286" w:lineRule="auto"/>
      </w:pPr>
      <w:r>
        <w:rPr>
          <w:b/>
          <w:bCs/>
          <w:color w:val="22303C"/>
          <w:sz w:val="21"/>
          <w:szCs w:val="21"/>
        </w:rPr>
        <w:t xml:space="preserve">6. Size debt to the portfolio's own revenue.</w:t>
      </w:r>
      <w:r>
        <w:rPr>
          <w:color w:val="22303C"/>
          <w:sz w:val="21"/>
          <w:szCs w:val="21"/>
        </w:rPr>
        <w:t xml:space="preserve"> A portfolio at 0.70× coverage requires perpetual subsidy from growth-dependent tax revenue. Bringing new projects to self-supporting coverage — achievable at frontier delivery costs and Section 5 pricing — severs the dependence of the housing program on the expansion of the visitor economy.</w:t>
      </w:r>
    </w:p>
    <w:p>
      <w:pPr>
        <w:spacing w:after="170" w:line="296" w:lineRule="auto"/>
      </w:pPr>
      <w:r>
        <w:rPr>
          <w:color w:val="22303C"/>
          <w:sz w:val="21"/>
          <w:szCs w:val="21"/>
        </w:rPr>
        <w:t xml:space="preserve">Applied together, these measures do not reduce the number of public employees housed. They make the quantity deliberate, the cost visible, the target finite, and the funding source honest — which is the difference between a program that concludes and one that compounds.</w:t>
      </w:r>
    </w:p>
    <w:p>
      <w:pPr>
        <w:spacing w:after="150" w:before="330"/>
      </w:pPr>
      <w:r>
        <w:rPr>
          <w:b/>
          <w:bCs/>
          <w:color w:val="1D5C63"/>
          <w:sz w:val="30"/>
          <w:szCs w:val="30"/>
        </w:rPr>
        <w:t xml:space="preserve">13. The decision framework</w:t>
      </w:r>
    </w:p>
    <w:p>
      <w:pPr>
        <w:spacing w:after="210" w:line="296" w:lineRule="auto"/>
      </w:pPr>
      <w:r>
        <w:rPr>
          <w:color w:val="22303C"/>
          <w:sz w:val="21"/>
          <w:szCs w:val="21"/>
        </w:rPr>
        <w:t xml:space="preserve">The following twelve rules convert the assembled evidence into an objective evaluation method. They are designed to be applied in order, in public session, to every proposal that requests public funds, public land, a density bonus, or a fee waiver for housing.</w:t>
      </w:r>
    </w:p>
    <w:p>
      <w:pPr>
        <w:spacing w:after="110" w:before="230"/>
      </w:pPr>
      <w:r>
        <w:rPr>
          <w:b/>
          <w:bCs/>
          <w:color w:val="22303C"/>
          <w:sz w:val="24"/>
          <w:szCs w:val="24"/>
        </w:rPr>
        <w:t xml:space="preserve">Rule 1 — State the objective before the project.</w:t>
      </w:r>
    </w:p>
    <w:p>
      <w:pPr>
        <w:spacing w:after="170" w:line="296" w:lineRule="auto"/>
      </w:pPr>
      <w:r>
        <w:rPr>
          <w:color w:val="22303C"/>
          <w:sz w:val="21"/>
          <w:szCs w:val="21"/>
        </w:rPr>
        <w:t xml:space="preserve">Every proposal identifies, in its opening section, whether it houses the current workforce or accommodates growth. Growth accommodation is a legitimate elected choice — made by the governing body, with the associated infrastructure obligations stated — not a default embedded in a housing program (Section 2).</w:t>
      </w:r>
    </w:p>
    <w:p>
      <w:pPr>
        <w:spacing w:after="110" w:before="230"/>
      </w:pPr>
      <w:r>
        <w:rPr>
          <w:b/>
          <w:bCs/>
          <w:color w:val="22303C"/>
          <w:sz w:val="24"/>
          <w:szCs w:val="24"/>
        </w:rPr>
        <w:t xml:space="preserve">Rule 2 — Count first, build last.</w:t>
      </w:r>
    </w:p>
    <w:p>
      <w:pPr>
        <w:spacing w:after="170" w:line="296" w:lineRule="auto"/>
      </w:pPr>
      <w:r>
        <w:rPr>
          <w:color w:val="22303C"/>
          <w:sz w:val="21"/>
          <w:szCs w:val="21"/>
        </w:rPr>
        <w:t xml:space="preserve">The program target is the documented existing deficit plus the adopted commuter-repatriation tranche, published annually with an end state (Section 5.3). No project is approved against projected need. When the target is met, the program transitions to maintenance mode.</w:t>
      </w:r>
    </w:p>
    <w:p>
      <w:pPr>
        <w:spacing w:after="110" w:before="230"/>
      </w:pPr>
      <w:r>
        <w:rPr>
          <w:b/>
          <w:bCs/>
          <w:color w:val="22303C"/>
          <w:sz w:val="24"/>
          <w:szCs w:val="24"/>
        </w:rPr>
        <w:t xml:space="preserve">Rule 3 — House existing jobs, not future ones.</w:t>
      </w:r>
    </w:p>
    <w:p>
      <w:pPr>
        <w:spacing w:after="170" w:line="296" w:lineRule="auto"/>
      </w:pPr>
      <w:r>
        <w:rPr>
          <w:color w:val="22303C"/>
          <w:sz w:val="21"/>
          <w:szCs w:val="21"/>
        </w:rPr>
        <w:t xml:space="preserve">Eligibility requires current employment in the R-1 district with a tenure requirement. Priority order: overcrowded and displaced residents first, current in-commuters second. Each bed must change who fills an existing job (Section 7).</w:t>
      </w:r>
    </w:p>
    <w:p>
      <w:pPr>
        <w:spacing w:after="110" w:before="230"/>
      </w:pPr>
      <w:r>
        <w:rPr>
          <w:b/>
          <w:bCs/>
          <w:color w:val="22303C"/>
          <w:sz w:val="24"/>
          <w:szCs w:val="24"/>
        </w:rPr>
        <w:t xml:space="preserve">Rule 4 — Exhaust the frontier in order.</w:t>
      </w:r>
    </w:p>
    <w:p>
      <w:pPr>
        <w:spacing w:after="170" w:line="296" w:lineRule="auto"/>
      </w:pPr>
      <w:r>
        <w:rPr>
          <w:color w:val="22303C"/>
          <w:sz w:val="21"/>
          <w:szCs w:val="21"/>
        </w:rPr>
        <w:t xml:space="preserve">Reprice vacant public stock; purchase restrictions while sellers exist; master-lease the flexible margin; construct modest units on public land only for the measured residual (Section 8). A proposal to construct is simultaneously a representation that every less expensive instrument is exhausted; the record should demonstrate it.</w:t>
      </w:r>
    </w:p>
    <w:p>
      <w:pPr>
        <w:spacing w:after="110" w:before="230"/>
      </w:pPr>
      <w:r>
        <w:rPr>
          <w:b/>
          <w:bCs/>
          <w:color w:val="22303C"/>
          <w:sz w:val="24"/>
          <w:szCs w:val="24"/>
        </w:rPr>
        <w:t xml:space="preserve">Rule 5 — Maintain the break-even test.</w:t>
      </w:r>
    </w:p>
    <w:p>
      <w:pPr>
        <w:spacing w:after="170" w:line="296" w:lineRule="auto"/>
      </w:pPr>
      <w:r>
        <w:rPr>
          <w:color w:val="22303C"/>
          <w:sz w:val="21"/>
          <w:szCs w:val="21"/>
        </w:rPr>
        <w:t xml:space="preserve">The measurable return of housing one worker is $25,000–$40,000 per year (Section 7). Annualized all-in public cost per bed must remain below it — in practice, a capital ceiling of approximately $300,000–$450,000 per bed, and realistically the free-land, modest-specification delivery class. Instruments above the line reduce community welfare with each bed filled.</w:t>
      </w:r>
    </w:p>
    <w:p>
      <w:pPr>
        <w:spacing w:after="110" w:before="230"/>
      </w:pPr>
      <w:r>
        <w:rPr>
          <w:b/>
          <w:bCs/>
          <w:color w:val="22303C"/>
          <w:sz w:val="24"/>
          <w:szCs w:val="24"/>
        </w:rPr>
        <w:t xml:space="preserve">Rule 6 — Price to demonstrated demand.</w:t>
      </w:r>
    </w:p>
    <w:p>
      <w:pPr>
        <w:spacing w:after="170" w:line="296" w:lineRule="auto"/>
      </w:pPr>
      <w:r>
        <w:rPr>
          <w:color w:val="22303C"/>
          <w:sz w:val="21"/>
          <w:szCs w:val="21"/>
        </w:rPr>
        <w:t xml:space="preserve">New below-market product is priced at or below the approximately 100%-AMI equivalent, where the documented queues are. Product above approximately 120% of AMI has twice been tested by the market and found to have near-zero excess demand (Section 5); delivering it converts public capital into vacancy.</w:t>
      </w:r>
    </w:p>
    <w:p>
      <w:pPr>
        <w:spacing w:after="110" w:before="230"/>
      </w:pPr>
      <w:r>
        <w:rPr>
          <w:b/>
          <w:bCs/>
          <w:color w:val="22303C"/>
          <w:sz w:val="24"/>
          <w:szCs w:val="24"/>
        </w:rPr>
        <w:t xml:space="preserve">Rule 7 — Use wide eligibility windows.</w:t>
      </w:r>
    </w:p>
    <w:p>
      <w:pPr>
        <w:spacing w:after="170" w:line="296" w:lineRule="auto"/>
      </w:pPr>
      <w:r>
        <w:rPr>
          <w:color w:val="22303C"/>
          <w:sz w:val="21"/>
          <w:szCs w:val="21"/>
        </w:rPr>
        <w:t xml:space="preserve">Ownership restrictions follow the Meadowlark design — employment-based, with appreciation caps and no income limits or wide ones. Income caps set near the qualifying price manufacture the “unicorn buyer” and strand the inventory, as documented at Pinion Park (Section 5.2).</w:t>
      </w:r>
    </w:p>
    <w:p>
      <w:pPr>
        <w:spacing w:after="110" w:before="230"/>
      </w:pPr>
      <w:r>
        <w:rPr>
          <w:b/>
          <w:bCs/>
          <w:color w:val="22303C"/>
          <w:sz w:val="24"/>
          <w:szCs w:val="24"/>
        </w:rPr>
        <w:t xml:space="preserve">Rule 8 — Prioritize instruments with zero infrastructure draw.</w:t>
      </w:r>
    </w:p>
    <w:p>
      <w:pPr>
        <w:spacing w:after="170" w:line="296" w:lineRule="auto"/>
      </w:pPr>
      <w:r>
        <w:rPr>
          <w:color w:val="22303C"/>
          <w:sz w:val="21"/>
          <w:szCs w:val="21"/>
        </w:rPr>
        <w:t xml:space="preserve">Where two instruments can house the same worker, the one that draws no wastewater, road, or evacuation capacity ranks first. Construction proposals state their gallons-per-day and peak-trip draw against the published regional headroom (Section 9.2).</w:t>
      </w:r>
    </w:p>
    <w:p>
      <w:pPr>
        <w:spacing w:after="110" w:before="230"/>
      </w:pPr>
      <w:r>
        <w:rPr>
          <w:b/>
          <w:bCs/>
          <w:color w:val="22303C"/>
          <w:sz w:val="24"/>
          <w:szCs w:val="24"/>
        </w:rPr>
        <w:t xml:space="preserve">Rule 9 — Maintain separation from commercial mitigation.</w:t>
      </w:r>
    </w:p>
    <w:p>
      <w:pPr>
        <w:spacing w:after="170" w:line="296" w:lineRule="auto"/>
      </w:pPr>
      <w:r>
        <w:rPr>
          <w:color w:val="22303C"/>
          <w:sz w:val="21"/>
          <w:szCs w:val="21"/>
        </w:rPr>
        <w:t xml:space="preserve">Beds created with public funds are not credited against commercial mitigation requirements and do not unlock additional commercial floor area. Permitting that channel converts workforce housing into growth accommodation and defeats Rule 1.</w:t>
      </w:r>
    </w:p>
    <w:p>
      <w:pPr>
        <w:spacing w:after="110" w:before="230"/>
      </w:pPr>
      <w:r>
        <w:rPr>
          <w:b/>
          <w:bCs/>
          <w:color w:val="22303C"/>
          <w:sz w:val="24"/>
          <w:szCs w:val="24"/>
        </w:rPr>
        <w:t xml:space="preserve">Rule 10 — Publish occupancy monthly; sunset what stops filling.</w:t>
      </w:r>
    </w:p>
    <w:p>
      <w:pPr>
        <w:spacing w:after="170" w:line="296" w:lineRule="auto"/>
      </w:pPr>
      <w:r>
        <w:rPr>
          <w:color w:val="22303C"/>
          <w:sz w:val="21"/>
          <w:szCs w:val="21"/>
        </w:rPr>
        <w:t xml:space="preserve">Vacancy, waitlist, and application counts by property, unit size, and tier, published monthly. Any tier vacant more than 90 days triggers a repricing review. Instruments are selected for reversibility where possible, because a need-catching program is designed to conclude.</w:t>
      </w:r>
    </w:p>
    <w:p>
      <w:pPr>
        <w:spacing w:after="110" w:before="230"/>
      </w:pPr>
      <w:r>
        <w:rPr>
          <w:b/>
          <w:bCs/>
          <w:color w:val="22303C"/>
          <w:sz w:val="24"/>
          <w:szCs w:val="24"/>
        </w:rPr>
        <w:t xml:space="preserve">Rule 11 — Apply the ownership line.</w:t>
      </w:r>
    </w:p>
    <w:p>
      <w:pPr>
        <w:spacing w:after="170" w:line="296" w:lineRule="auto"/>
      </w:pPr>
      <w:r>
        <w:rPr>
          <w:color w:val="22303C"/>
          <w:sz w:val="21"/>
          <w:szCs w:val="21"/>
        </w:rPr>
        <w:t xml:space="preserve">Public cash for ownership housing is a fixed contribution per restriction in the restriction-value class (approximately $120,000–$150,000), paired with a durable appreciation cap that keeps the subsidy in the unit permanently, and sequenced behind the rental queue (Section 12.2). Subsidy that scales with the affordability gap of an expensive unit is compensation policy and is evaluated as such.</w:t>
      </w:r>
    </w:p>
    <w:p>
      <w:pPr>
        <w:spacing w:after="110" w:before="230"/>
      </w:pPr>
      <w:r>
        <w:rPr>
          <w:b/>
          <w:bCs/>
          <w:color w:val="22303C"/>
          <w:sz w:val="24"/>
          <w:szCs w:val="24"/>
        </w:rPr>
        <w:t xml:space="preserve">Rule 12 — Price and disclose employer-benefit housing.</w:t>
      </w:r>
    </w:p>
    <w:p>
      <w:pPr>
        <w:spacing w:after="170" w:line="296" w:lineRule="auto"/>
      </w:pPr>
      <w:r>
        <w:rPr>
          <w:color w:val="22303C"/>
          <w:sz w:val="21"/>
          <w:szCs w:val="21"/>
        </w:rPr>
        <w:t xml:space="preserve">Where units are directed to a public employer's own workforce, the imputed annual benefit is published by employer class and presented alongside the salary schedule when compensation is set; the target is stated as an absolute unit count rather than a percentage of workforce; and the cost is carried by the employer's budget rather than the community housing fund (Section 12.7).</w:t>
      </w:r>
    </w:p>
    <w:p>
      <w:pPr>
        <w:spacing w:after="110" w:before="230"/>
      </w:pPr>
      <w:r>
        <w:rPr>
          <w:b/>
          <w:bCs/>
          <w:color w:val="22303C"/>
          <w:sz w:val="24"/>
          <w:szCs w:val="24"/>
        </w:rPr>
        <w:t xml:space="preserve">Conditions warranting rejection</w:t>
      </w:r>
    </w:p>
    <w:p>
      <w:pPr>
        <w:spacing w:after="110" w:line="296" w:lineRule="auto"/>
      </w:pPr>
      <w:r>
        <w:rPr>
          <w:color w:val="22303C"/>
          <w:sz w:val="21"/>
          <w:szCs w:val="21"/>
        </w:rPr>
        <w:t xml:space="preserve">The following features, on the assembled record, are sufficient grounds to return a proposal without further analysis:</w:t>
      </w:r>
    </w:p>
    <w:p>
      <w:pPr>
        <w:pStyle w:val="ListParagraph"/>
        <w:numPr>
          <w:ilvl w:val="0"/>
          <w:numId w:val="1"/>
        </w:numPr>
        <w:spacing w:after="90" w:line="286" w:lineRule="auto"/>
      </w:pPr>
      <w:r>
        <w:rPr>
          <w:color w:val="22303C"/>
          <w:sz w:val="21"/>
          <w:szCs w:val="21"/>
        </w:rPr>
        <w:t xml:space="preserve">Bespoke in-town construction above approximately $500,000 per unit — below break-even before opening (F9).</w:t>
      </w:r>
    </w:p>
    <w:p>
      <w:pPr>
        <w:pStyle w:val="ListParagraph"/>
        <w:numPr>
          <w:ilvl w:val="0"/>
          <w:numId w:val="1"/>
        </w:numPr>
        <w:spacing w:after="90" w:line="286" w:lineRule="auto"/>
      </w:pPr>
      <w:r>
        <w:rPr>
          <w:color w:val="22303C"/>
          <w:sz w:val="21"/>
          <w:szCs w:val="21"/>
        </w:rPr>
        <w:t xml:space="preserve">Justification based on projected job growth — a growth-objective proposal, to be evaluated under Rule 1's election.</w:t>
      </w:r>
    </w:p>
    <w:p>
      <w:pPr>
        <w:pStyle w:val="ListParagraph"/>
        <w:numPr>
          <w:ilvl w:val="0"/>
          <w:numId w:val="1"/>
        </w:numPr>
        <w:spacing w:after="90" w:line="286" w:lineRule="auto"/>
      </w:pPr>
      <w:r>
        <w:rPr>
          <w:color w:val="22303C"/>
          <w:sz w:val="21"/>
          <w:szCs w:val="21"/>
        </w:rPr>
        <w:t xml:space="preserve">Income caps within reach of the qualifying price — the documented Pinion Park failure mode.</w:t>
      </w:r>
    </w:p>
    <w:p>
      <w:pPr>
        <w:pStyle w:val="ListParagraph"/>
        <w:numPr>
          <w:ilvl w:val="0"/>
          <w:numId w:val="1"/>
        </w:numPr>
        <w:spacing w:after="90" w:line="286" w:lineRule="auto"/>
      </w:pPr>
      <w:r>
        <w:rPr>
          <w:color w:val="22303C"/>
          <w:sz w:val="21"/>
          <w:szCs w:val="21"/>
        </w:rPr>
        <w:t xml:space="preserve">Rental product priced above approximately 120% of AMI — twice-demonstrated absence of demand.</w:t>
      </w:r>
    </w:p>
    <w:p>
      <w:pPr>
        <w:pStyle w:val="ListParagraph"/>
        <w:numPr>
          <w:ilvl w:val="0"/>
          <w:numId w:val="1"/>
        </w:numPr>
        <w:spacing w:after="90" w:line="286" w:lineRule="auto"/>
      </w:pPr>
      <w:r>
        <w:rPr>
          <w:color w:val="22303C"/>
          <w:sz w:val="21"/>
          <w:szCs w:val="21"/>
        </w:rPr>
        <w:t xml:space="preserve">Structured parking within a housing pro forma — the Lot L pattern; parking is a transportation investment and should be appraised as one.</w:t>
      </w:r>
    </w:p>
    <w:p>
      <w:pPr>
        <w:pStyle w:val="ListParagraph"/>
        <w:numPr>
          <w:ilvl w:val="0"/>
          <w:numId w:val="1"/>
        </w:numPr>
        <w:spacing w:after="90" w:line="286" w:lineRule="auto"/>
      </w:pPr>
      <w:r>
        <w:rPr>
          <w:color w:val="22303C"/>
          <w:sz w:val="21"/>
          <w:szCs w:val="21"/>
        </w:rPr>
        <w:t xml:space="preserve">Perpetual subsidy structures for seasonal or cyclical needs — master leases exist for this purpose and can conclude.</w:t>
      </w:r>
    </w:p>
    <w:p>
      <w:pPr>
        <w:pStyle w:val="ListParagraph"/>
        <w:numPr>
          <w:ilvl w:val="0"/>
          <w:numId w:val="1"/>
        </w:numPr>
        <w:spacing w:after="90" w:line="286" w:lineRule="auto"/>
      </w:pPr>
      <w:r>
        <w:rPr>
          <w:color w:val="22303C"/>
          <w:sz w:val="21"/>
          <w:szCs w:val="21"/>
        </w:rPr>
        <w:t xml:space="preserve">Demand evidence consisting solely of consultant projections — the Region possesses actual queues; proposals should cite them.</w:t>
      </w:r>
    </w:p>
    <w:p>
      <w:pPr>
        <w:pStyle w:val="ListParagraph"/>
        <w:numPr>
          <w:ilvl w:val="0"/>
          <w:numId w:val="1"/>
        </w:numPr>
        <w:spacing w:after="90" w:line="286" w:lineRule="auto"/>
      </w:pPr>
      <w:r>
        <w:rPr>
          <w:color w:val="22303C"/>
          <w:sz w:val="21"/>
          <w:szCs w:val="21"/>
        </w:rPr>
        <w:t xml:space="preserve">Public cash subsidy scaled to bridge the affordability gap of an expensive unit rather than fixed at the restriction-value class (Rule 11).</w:t>
      </w:r>
    </w:p>
    <w:p>
      <w:pPr>
        <w:pStyle w:val="ListParagraph"/>
        <w:numPr>
          <w:ilvl w:val="0"/>
          <w:numId w:val="1"/>
        </w:numPr>
        <w:spacing w:after="90" w:line="286" w:lineRule="auto"/>
      </w:pPr>
      <w:r>
        <w:rPr>
          <w:color w:val="22303C"/>
          <w:sz w:val="21"/>
          <w:szCs w:val="21"/>
        </w:rPr>
        <w:t xml:space="preserve">Ownership assistance without a durable appreciation cap — the subsidy exits the unit at first resale.</w:t>
      </w:r>
    </w:p>
    <w:p>
      <w:pPr>
        <w:pStyle w:val="ListParagraph"/>
        <w:numPr>
          <w:ilvl w:val="0"/>
          <w:numId w:val="1"/>
        </w:numPr>
        <w:spacing w:after="90" w:line="286" w:lineRule="auto"/>
      </w:pPr>
      <w:r>
        <w:rPr>
          <w:color w:val="22303C"/>
          <w:sz w:val="21"/>
          <w:szCs w:val="21"/>
        </w:rPr>
        <w:t xml:space="preserve">A staff-housing objective expressed as a percentage of workforce rather than an absolute unit count (Rule 12).</w:t>
      </w:r>
    </w:p>
    <w:p>
      <w:pPr>
        <w:spacing w:after="150" w:before="330"/>
      </w:pPr>
      <w:r>
        <w:rPr>
          <w:b/>
          <w:bCs/>
          <w:color w:val="1D5C63"/>
          <w:sz w:val="30"/>
          <w:szCs w:val="30"/>
        </w:rPr>
        <w:t xml:space="preserve">14. Proposal evaluation scorecard</w:t>
      </w:r>
    </w:p>
    <w:p>
      <w:pPr>
        <w:spacing w:after="170" w:line="296" w:lineRule="auto"/>
      </w:pPr>
      <w:r>
        <w:rPr>
          <w:color w:val="22303C"/>
          <w:sz w:val="21"/>
          <w:szCs w:val="21"/>
        </w:rPr>
        <w:t xml:space="preserve">A single page, applied in public session to every proposal requesting public funds, land, density, or waivers. </w:t>
      </w:r>
      <w:r>
        <w:rPr>
          <w:b/>
          <w:bCs/>
          <w:color w:val="22303C"/>
          <w:sz w:val="21"/>
          <w:szCs w:val="21"/>
        </w:rPr>
        <w:t xml:space="preserve">Ten affirmative answers of twelve are required to proceed; any Section 13 rejection condition concludes the evaluation regardless of score.</w:t>
      </w:r>
    </w:p>
    <w:p>
      <w:pPr>
        <w:spacing w:after="110"/>
      </w:pP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20"/>
        <w:gridCol w:w="6180"/>
        <w:gridCol w:w="1400"/>
      </w:tblGrid>
      <w:tr>
        <w:tc>
          <w:tcPr>
            <w:tcW w:type="dxa" w:w="62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t>
            </w:r>
          </w:p>
        </w:tc>
        <w:tc>
          <w:tcPr>
            <w:tcW w:type="dxa" w:w="61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Question</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Answer</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the proposal state its objective — and is it need-catching (Rule 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count against the published deficit rather than a projection (Rule 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Will every bed house a current R-1 worker under tenure eligibility (Rule 3)?</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each less expensive frontier instrument demonstrably exhausted (Rule 4)?</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annualized public cost per bed below the $25–40k/yr return (Rule 5)?</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rents or prices at or below the ~100%-AMI equivalent (Rule 6)?</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eligibility windows employment-based and wide (Rule 7)?</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infrastructure draw zero, or stated and de minimis against headroom (Rule 8)?</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the proposal firewalled from commercial mitigation credit (Rule 9)?</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10</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include monthly occupancy reporting and a sunset trigger (Rule 10)?</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ownership: flat restriction-class subsidy with a durable appreciation cap (Rule 11)?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directed to a public workforce: benefit priced, disclosed, absolute target, employer-funded (Rule 12)?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bl>
    <w:p>
      <w:pPr>
        <w:spacing w:after="110"/>
      </w:pPr>
    </w:p>
    <w:p>
      <w:pPr>
        <w:spacing w:after="150" w:before="330"/>
      </w:pPr>
      <w:r>
        <w:rPr>
          <w:b/>
          <w:bCs/>
          <w:color w:val="1D5C63"/>
          <w:sz w:val="30"/>
          <w:szCs w:val="30"/>
        </w:rPr>
        <w:t xml:space="preserve">15. Retrospective application</w:t>
      </w:r>
    </w:p>
    <w:p>
      <w:pPr>
        <w:spacing w:after="170" w:line="296" w:lineRule="auto"/>
      </w:pPr>
      <w:r>
        <w:rPr>
          <w:color w:val="22303C"/>
          <w:sz w:val="21"/>
          <w:szCs w:val="21"/>
        </w:rPr>
        <w:t xml:space="preserve">The framework is testable against the Region's own completed and proposed projects. Scored as the rules are written:</w:t>
      </w:r>
      <w:r>
        <w:rPr>
          <w:b/>
          <w:bCs/>
          <w:color w:val="1D5C63"/>
          <w:sz w:val="17"/>
          <w:szCs w:val="17"/>
          <w:vertAlign w:val="superscript"/>
        </w:rPr>
        <w:t xml:space="preserve">80</w:t>
      </w:r>
    </w:p>
    <w:p>
      <w:pPr>
        <w:spacing w:after="110"/>
      </w:pPr>
    </w:p>
    <w:tbl>
      <w:tblPr>
        <w:tblW w:type="dxa" w:w="8380"/>
        <w:tblBorders>
          <w:top w:val="single" w:color="auto" w:sz="4"/>
          <w:left w:val="single" w:color="auto" w:sz="4"/>
          <w:bottom w:val="single" w:color="auto" w:sz="4"/>
          <w:right w:val="single" w:color="auto" w:sz="4"/>
          <w:insideH w:val="single" w:color="auto" w:sz="4"/>
          <w:insideV w:val="single" w:color="auto" w:sz="4"/>
        </w:tblBorders>
      </w:tblPr>
      <w:tblGrid>
        <w:gridCol w:w="2350"/>
        <w:gridCol w:w="1250"/>
        <w:gridCol w:w="4780"/>
      </w:tblGrid>
      <w:tr>
        <w:tc>
          <w:tcPr>
            <w:tcW w:type="dxa" w:w="23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Project</w:t>
            </w:r>
          </w:p>
        </w:tc>
        <w:tc>
          <w:tcPr>
            <w:tcW w:type="dxa" w:w="12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Score</w:t>
            </w:r>
          </w:p>
        </w:tc>
        <w:tc>
          <w:tcPr>
            <w:tcW w:type="dxa" w:w="47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Framework result</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Meadowlark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land, approximately $61,000 per bedroom, employment-based eligibility with no income limits; 28 of 29 units sold within two months. The single deficiency: no published occupancy/sunset regime. Mountain Village's council subsequently concluded 41 units would have out-performed 29 — density spreads the subsidy.</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Village Court Phase 4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Modest specification, free land, approximately $45,000 cash per bedroom, priced at the documented waitlist; waitlist turnover visibly improved. The template for the rental residual.</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Pinion Park (2021–)</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Correct objective and price point; failed eligibility design. Income caps near the qualifying price plus non-replicable first-buyer financing: five homes unsold five to twenty months, one qualification application. Rule 7 as written.</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Voodoo (2023–24)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Fails Rule 5 (approximately $955,000 all-in per unit), Rule 6 (rents near 140% AMI produced 1.2 applicants per unit and December vacancies, with eligibility subsequently loosened), and Rule 10 (the vacancy accumulation proceeded unmeasured). The costliest entry in the ledger and the principal motivation for this framework.</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Shandoka Lot L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Approximately $3.3 million per unit including a 900-space garage: a transportation facility within a housing pro forma. Multiple rejection conditions apply.</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Carhenge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of 12</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Publicly owned, transit-adjacent site serving the correct households — but modeled at approximately $953,000 per unit including a $44.4 million underground garage (approximately 21% of cost). Fails Rule 5 and triggers the structured-parking rejection condition. Severing the parking and building to Meadowlark or Village Court specification would bring the same site and unit count within the framework. See Section 12.6.</w:t>
            </w:r>
          </w:p>
        </w:tc>
      </w:tr>
    </w:tbl>
    <w:p>
      <w:pPr>
        <w:spacing w:after="110"/>
      </w:pPr>
    </w:p>
    <w:p>
      <w:pPr>
        <w:spacing w:after="150" w:before="330"/>
      </w:pPr>
      <w:r>
        <w:rPr>
          <w:b/>
          <w:bCs/>
          <w:color w:val="1D5C63"/>
          <w:sz w:val="30"/>
          <w:szCs w:val="30"/>
        </w:rPr>
        <w:t xml:space="preserve">16. Program plan, cost, and end state</w:t>
      </w:r>
    </w:p>
    <w:p>
      <w:pPr>
        <w:spacing w:after="170" w:line="296" w:lineRule="auto"/>
      </w:pPr>
      <w:r>
        <w:rPr>
          <w:color w:val="22303C"/>
          <w:sz w:val="21"/>
          <w:szCs w:val="21"/>
        </w:rPr>
        <w:t xml:space="preserve">Sized to Section 5.3 and delivered on the Section 8 frontier, the need-catching program is specific and affordable: recovery of the approximately 49 vacant town units through repricing (≈70 beds, no capital); 40–60 purchased restrictions as sellers appear (≈$3–4 million); a master-lease margin flexed to seasonal demand; and a constructed residual of 150–250 bedrooms at Meadowlark/VCA-class delivery costs (≈$7–15 million). </w:t>
      </w:r>
      <w:r>
        <w:rPr>
          <w:b/>
          <w:bCs/>
          <w:color w:val="22303C"/>
          <w:sz w:val="21"/>
          <w:szCs w:val="21"/>
        </w:rPr>
        <w:t xml:space="preserve">The complete program approximates $15–25 million over a decade, with a defined end state.</w:t>
      </w:r>
      <w:r>
        <w:rPr>
          <w:b/>
          <w:bCs/>
          <w:color w:val="1D5C63"/>
          <w:sz w:val="17"/>
          <w:szCs w:val="17"/>
          <w:vertAlign w:val="superscript"/>
        </w:rPr>
        <w:t xml:space="preserve">81</w:t>
      </w:r>
    </w:p>
    <w:p>
      <w:pPr>
        <w:spacing w:after="170" w:line="296" w:lineRule="auto"/>
      </w:pPr>
      <w:r>
        <w:rPr>
          <w:color w:val="22303C"/>
          <w:sz w:val="21"/>
          <w:szCs w:val="21"/>
        </w:rPr>
        <w:t xml:space="preserve">For scale: that is less than the all-in public cost of the single Voodoo project (approximately $26 million for 27 units), and a small fraction of the $120–150 million gondola replacement or the nine-figure wastewater program. The constraint on regional housing policy has not been money; it has been instrument selection — the highest-return instruments have remained largely unused while the lowest-return instrument absorbed the budget.</w:t>
      </w:r>
    </w:p>
    <w:p>
      <w:pPr>
        <w:spacing w:after="170" w:line="296" w:lineRule="auto"/>
      </w:pPr>
      <w:r>
        <w:rPr>
          <w:color w:val="22303C"/>
          <w:sz w:val="21"/>
          <w:szCs w:val="21"/>
        </w:rPr>
        <w:t xml:space="preserve">When the published deficit closes, the program concludes by design: leases sunset, construction stops, the restriction fund becomes opportunistic, and the occupancy dashboard becomes the early-warning system for the next cycle. Peer experience indicates this is the difference, measured over decades, between Whistler's outcome and Aspen's.</w:t>
      </w:r>
      <w:r>
        <w:rPr>
          <w:b/>
          <w:bCs/>
          <w:color w:val="1D5C63"/>
          <w:sz w:val="17"/>
          <w:szCs w:val="17"/>
          <w:vertAlign w:val="superscript"/>
        </w:rPr>
        <w:t xml:space="preserve">48,49</w:t>
      </w:r>
    </w:p>
    <w:p>
      <w:pPr>
        <w:spacing w:after="150" w:before="330"/>
      </w:pPr>
      <w:r>
        <w:rPr>
          <w:b/>
          <w:bCs/>
          <w:color w:val="1D5C63"/>
          <w:sz w:val="30"/>
          <w:szCs w:val="30"/>
        </w:rPr>
        <w:t xml:space="preserve">17. Recommendations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5650"/>
        <w:gridCol w:w="285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56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Recommendation</w:t>
            </w:r>
          </w:p>
        </w:tc>
        <w:tc>
          <w:tcPr>
            <w:tcW w:type="dxa" w:w="28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Responsible party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an evacuation clearance-time study for the box canyon at current, festival-peak, and build-out populations. This is the gating capacity analysis; comparable studies cost $75,000–$150,000.</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San Miguel County OEM with both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an annual capacity ledger: remaining zoned capacity by parcel, a bed-unit accounting, and measured status of the wastewater plant, gateway intersections, and regional water. Score each application against it.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adopted jointly by the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restriction-purchase-first test: before committing construction funds, price the deed-restriction purchase alternative for the same households and fund the option that houses more workers per public dollar.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R4</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Align new rental pricing with demonstrated demand: suspend delivery of product priced above approximately 120% of AMI until the below-100% queue clears.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councils and housing authorities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R5</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monthly occupancy: vacancies, waitlists, and applications per opening by property, unit size, and tier. The 2025 vacancy accumulation proceeded unmeasured because no such reporting existed.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Dept; MVHA; SMRHA</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R6</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an explicit visitor-economy scale target (beds, commercial floor area, or bed-units). Every housing-need estimate depends on this number; it is presently implicit and unbounded.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three governments jointly; the 2026–2028 sewer and gondola negotiations are the natural forum</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R7</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Field a rigorous regional demand survey measuring willingness to apply at specific rent, size, and location combinations, including trade-off questions omitted from prior surveys.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Livable Telluride, with open methodology; co-fielded by the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R8</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joint feasibility study of Norwood's decreed San Miguel River diversion, firmed by Telluride dry-year storage releases, delivered as cost per worker-housed and paired with a matched Norwood–Telluride transit-service plan.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Norwood Water Commission with the three governments; scope suited to the towns' existing engineers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R9</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the Section 13 decision framework and the Section 14 scorecard as the standing evaluation method for every publicly subsidized housing proposal, applied in public session.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R10</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Price and publish the employee-housing objective: the units required, the imputed annual benefit by employer class, and the capital cost at frontier versus construction delivery. Restate the objective as an absolute unit count with a completion date, and carry it in the employing entity's budget alongside its salary schedule.</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with the County, the school district, and the hospital district</w:t>
            </w:r>
          </w:p>
        </w:tc>
      </w:tr>
    </w:tbl>
    <w:p>
      <w:pPr>
        <w:spacing w:after="110"/>
      </w:pPr>
    </w:p>
    <w:p>
      <w:pPr>
        <w:spacing w:after="150" w:before="330"/>
      </w:pPr>
      <w:r>
        <w:rPr>
          <w:b/>
          <w:bCs/>
          <w:color w:val="1D5C63"/>
          <w:sz w:val="30"/>
          <w:szCs w:val="30"/>
        </w:rPr>
        <w:t xml:space="preserve">18. Data limitations and open items</w:t>
      </w:r>
    </w:p>
    <w:p>
      <w:pPr>
        <w:pStyle w:val="ListParagraph"/>
        <w:numPr>
          <w:ilvl w:val="0"/>
          <w:numId w:val="1"/>
        </w:numPr>
        <w:spacing w:after="90" w:line="286" w:lineRule="auto"/>
      </w:pPr>
      <w:r>
        <w:rPr>
          <w:b/>
          <w:bCs/>
          <w:color w:val="22303C"/>
          <w:sz w:val="21"/>
          <w:szCs w:val="21"/>
        </w:rPr>
        <w:t xml:space="preserve">Evacuation clearance time</w:t>
      </w:r>
      <w:r>
        <w:rPr>
          <w:color w:val="22303C"/>
          <w:sz w:val="21"/>
          <w:szCs w:val="21"/>
        </w:rPr>
        <w:t xml:space="preserve"> — no analysis exists (Recommendation R1).</w:t>
      </w:r>
    </w:p>
    <w:p>
      <w:pPr>
        <w:pStyle w:val="ListParagraph"/>
        <w:numPr>
          <w:ilvl w:val="0"/>
          <w:numId w:val="1"/>
        </w:numPr>
        <w:spacing w:after="90" w:line="286" w:lineRule="auto"/>
      </w:pPr>
      <w:r>
        <w:rPr>
          <w:b/>
          <w:bCs/>
          <w:color w:val="22303C"/>
          <w:sz w:val="21"/>
          <w:szCs w:val="21"/>
        </w:rPr>
        <w:t xml:space="preserve">Occupancy and waitlist records</w:t>
      </w:r>
      <w:r>
        <w:rPr>
          <w:color w:val="22303C"/>
          <w:sz w:val="21"/>
          <w:szCs w:val="21"/>
        </w:rPr>
        <w:t xml:space="preserve"> — not systematically maintained by any of the three governments (Recommendation R5).</w:t>
      </w:r>
    </w:p>
    <w:p>
      <w:pPr>
        <w:pStyle w:val="ListParagraph"/>
        <w:numPr>
          <w:ilvl w:val="0"/>
          <w:numId w:val="1"/>
        </w:numPr>
        <w:spacing w:after="90" w:line="286" w:lineRule="auto"/>
      </w:pPr>
      <w:r>
        <w:rPr>
          <w:b/>
          <w:bCs/>
          <w:color w:val="22303C"/>
          <w:sz w:val="21"/>
          <w:szCs w:val="21"/>
        </w:rPr>
        <w:t xml:space="preserve">Replacement wastewater plant cost and financing</w:t>
      </w:r>
      <w:r>
        <w:rPr>
          <w:color w:val="22303C"/>
          <w:sz w:val="21"/>
          <w:szCs w:val="21"/>
        </w:rPr>
        <w:t xml:space="preserve"> — unpublished; the cancelled $133M+ expansion bid and a $139.1M town capital placeholder are the only public figures.</w:t>
      </w:r>
      <w:r>
        <w:rPr>
          <w:b/>
          <w:bCs/>
          <w:color w:val="1D5C63"/>
          <w:sz w:val="17"/>
          <w:szCs w:val="17"/>
          <w:vertAlign w:val="superscript"/>
        </w:rPr>
        <w:t xml:space="preserve">36</w:t>
      </w:r>
    </w:p>
    <w:p>
      <w:pPr>
        <w:pStyle w:val="ListParagraph"/>
        <w:numPr>
          <w:ilvl w:val="0"/>
          <w:numId w:val="1"/>
        </w:numPr>
        <w:spacing w:after="90" w:line="286" w:lineRule="auto"/>
      </w:pPr>
      <w:r>
        <w:rPr>
          <w:b/>
          <w:bCs/>
          <w:color w:val="22303C"/>
          <w:sz w:val="21"/>
          <w:szCs w:val="21"/>
        </w:rPr>
        <w:t xml:space="preserve">Current Village Court waitlist depth</w:t>
      </w:r>
      <w:r>
        <w:rPr>
          <w:color w:val="22303C"/>
          <w:sz w:val="21"/>
          <w:szCs w:val="21"/>
        </w:rPr>
        <w:t xml:space="preserve"> — last confirmed at approximately 1,000 households (2020).</w:t>
      </w:r>
      <w:r>
        <w:rPr>
          <w:b/>
          <w:bCs/>
          <w:color w:val="1D5C63"/>
          <w:sz w:val="17"/>
          <w:szCs w:val="17"/>
          <w:vertAlign w:val="superscript"/>
        </w:rPr>
        <w:t xml:space="preserve">14</w:t>
      </w:r>
    </w:p>
    <w:p>
      <w:pPr>
        <w:pStyle w:val="ListParagraph"/>
        <w:numPr>
          <w:ilvl w:val="0"/>
          <w:numId w:val="1"/>
        </w:numPr>
        <w:spacing w:after="90" w:line="286" w:lineRule="auto"/>
      </w:pPr>
      <w:r>
        <w:rPr>
          <w:b/>
          <w:bCs/>
          <w:color w:val="22303C"/>
          <w:sz w:val="21"/>
          <w:szCs w:val="21"/>
        </w:rPr>
        <w:t xml:space="preserve">Internal inconsistencies in adopted documents</w:t>
      </w:r>
      <w:r>
        <w:rPr>
          <w:color w:val="22303C"/>
          <w:sz w:val="21"/>
          <w:szCs w:val="21"/>
        </w:rPr>
        <w:t xml:space="preserve"> — e.g., Shandoka Building F is recorded at 29 units in one adopted Town document and 12 in another.</w:t>
      </w:r>
      <w:r>
        <w:rPr>
          <w:b/>
          <w:bCs/>
          <w:color w:val="1D5C63"/>
          <w:sz w:val="17"/>
          <w:szCs w:val="17"/>
          <w:vertAlign w:val="superscript"/>
        </w:rPr>
        <w:t xml:space="preserve">55</w:t>
      </w:r>
    </w:p>
    <w:p>
      <w:pPr>
        <w:pStyle w:val="ListParagraph"/>
        <w:numPr>
          <w:ilvl w:val="0"/>
          <w:numId w:val="1"/>
        </w:numPr>
        <w:spacing w:after="90" w:line="286" w:lineRule="auto"/>
      </w:pPr>
      <w:r>
        <w:rPr>
          <w:b/>
          <w:bCs/>
          <w:color w:val="22303C"/>
          <w:sz w:val="21"/>
          <w:szCs w:val="21"/>
        </w:rPr>
        <w:t xml:space="preserve">In-commuter preferences</w:t>
      </w:r>
      <w:r>
        <w:rPr>
          <w:color w:val="22303C"/>
          <w:sz w:val="21"/>
          <w:szCs w:val="21"/>
        </w:rPr>
        <w:t xml:space="preserve"> — no instrument has measured whether commuting households would relocate at given rents; Recommendation R7 addresses this, and the Section 5.3 repatriation tranche depends on it.</w:t>
      </w:r>
    </w:p>
    <w:p>
      <w:pPr>
        <w:pStyle w:val="ListParagraph"/>
        <w:numPr>
          <w:ilvl w:val="0"/>
          <w:numId w:val="1"/>
        </w:numPr>
        <w:spacing w:after="90" w:line="286" w:lineRule="auto"/>
      </w:pPr>
      <w:r>
        <w:rPr>
          <w:b/>
          <w:bCs/>
          <w:color w:val="22303C"/>
          <w:sz w:val="21"/>
          <w:szCs w:val="21"/>
        </w:rPr>
        <w:t xml:space="preserve">Dry-year call risk on the lower San Miguel River</w:t>
      </w:r>
      <w:r>
        <w:rPr>
          <w:color w:val="22303C"/>
          <w:sz w:val="21"/>
          <w:szCs w:val="21"/>
        </w:rPr>
        <w:t xml:space="preserve"> — how often Norwood's junior diversion right would face curtailment, and how many acre-feet of firming a drought year requires, is unquantified; it is the first question of Recommendation R8.</w:t>
      </w:r>
    </w:p>
    <w:p>
      <w:pPr>
        <w:pStyle w:val="ListParagraph"/>
        <w:numPr>
          <w:ilvl w:val="0"/>
          <w:numId w:val="1"/>
        </w:numPr>
        <w:spacing w:after="90" w:line="286" w:lineRule="auto"/>
      </w:pPr>
      <w:r>
        <w:rPr>
          <w:b/>
          <w:bCs/>
          <w:color w:val="22303C"/>
          <w:sz w:val="21"/>
          <w:szCs w:val="21"/>
        </w:rPr>
        <w:t xml:space="preserve">Measure 3A appeal</w:t>
      </w:r>
      <w:r>
        <w:rPr>
          <w:color w:val="22303C"/>
          <w:sz w:val="21"/>
          <w:szCs w:val="21"/>
        </w:rPr>
        <w:t xml:space="preserve"> — the Colorado Court of Appeals has not ruled (Case No. 2026CA391); a decision setting aside the election would suspend the gondola program's only dedicated funding stream, and no contingency plan has been published.</w:t>
      </w:r>
    </w:p>
    <w:p>
      <w:pPr>
        <w:pStyle w:val="ListParagraph"/>
        <w:numPr>
          <w:ilvl w:val="0"/>
          <w:numId w:val="1"/>
        </w:numPr>
        <w:spacing w:after="90" w:line="286" w:lineRule="auto"/>
      </w:pPr>
      <w:r>
        <w:rPr>
          <w:b/>
          <w:bCs/>
          <w:color w:val="22303C"/>
          <w:sz w:val="21"/>
          <w:szCs w:val="21"/>
        </w:rPr>
        <w:t xml:space="preserve">Hotel mitigation filings</w:t>
      </w:r>
      <w:r>
        <w:rPr>
          <w:color w:val="22303C"/>
          <w:sz w:val="21"/>
          <w:szCs w:val="21"/>
        </w:rPr>
        <w:t xml:space="preserve"> — the Section 10.2 estimates are ranges pending the projects' filings and any credit under Mountain Village's mitigation code.</w:t>
      </w:r>
    </w:p>
    <w:p>
      <w:pPr>
        <w:pStyle w:val="ListParagraph"/>
        <w:numPr>
          <w:ilvl w:val="0"/>
          <w:numId w:val="1"/>
        </w:numPr>
        <w:spacing w:after="90" w:line="286" w:lineRule="auto"/>
      </w:pPr>
      <w:r>
        <w:rPr>
          <w:b/>
          <w:bCs/>
          <w:color w:val="22303C"/>
          <w:sz w:val="21"/>
          <w:szCs w:val="21"/>
        </w:rPr>
        <w:t xml:space="preserve">Master-lease and benefit parameters</w:t>
      </w:r>
      <w:r>
        <w:rPr>
          <w:color w:val="22303C"/>
          <w:sz w:val="21"/>
          <w:szCs w:val="21"/>
        </w:rPr>
        <w:t xml:space="preserve"> — the Section 7 return stack and Section 8 lease costs are stated-range estimates [E]; the instrument rankings differ by an order of magnitude and are robust to the stated uncertainty.</w:t>
      </w:r>
    </w:p>
    <w:p>
      <w:pPr>
        <w:pStyle w:val="ListParagraph"/>
        <w:numPr>
          <w:ilvl w:val="0"/>
          <w:numId w:val="1"/>
        </w:numPr>
        <w:spacing w:after="90" w:line="286" w:lineRule="auto"/>
      </w:pPr>
      <w:r>
        <w:rPr>
          <w:b/>
          <w:bCs/>
          <w:color w:val="22303C"/>
          <w:sz w:val="21"/>
          <w:szCs w:val="21"/>
        </w:rPr>
        <w:t xml:space="preserve">Occupancy of restricted units by employer class</w:t>
      </w:r>
      <w:r>
        <w:rPr>
          <w:color w:val="22303C"/>
          <w:sz w:val="21"/>
          <w:szCs w:val="21"/>
        </w:rPr>
        <w:t xml:space="preserve"> — not published by any housing authority, although employment is verified for eligibility. The Section 12 benefit figures are therefore bounded estimates; the Town's count of employees housed in Town units would replace them directly.</w:t>
      </w:r>
    </w:p>
    <w:p>
      <w:pPr>
        <w:pStyle w:val="ListParagraph"/>
        <w:numPr>
          <w:ilvl w:val="0"/>
          <w:numId w:val="1"/>
        </w:numPr>
        <w:spacing w:after="90" w:line="286" w:lineRule="auto"/>
      </w:pPr>
      <w:r>
        <w:rPr>
          <w:b/>
          <w:bCs/>
          <w:color w:val="22303C"/>
          <w:sz w:val="21"/>
          <w:szCs w:val="21"/>
        </w:rPr>
        <w:t xml:space="preserve">Market-rent comparators by unit type</w:t>
      </w:r>
      <w:r>
        <w:rPr>
          <w:color w:val="22303C"/>
          <w:sz w:val="21"/>
          <w:szCs w:val="21"/>
        </w:rPr>
        <w:t xml:space="preserve"> — the Section 12.4 benefit calculation rests on an estimated market one-bedroom rent; current comparable listings by unit type and location would materially tighten it.</w:t>
      </w:r>
    </w:p>
    <w:p>
      <w:pPr>
        <w:pStyle w:val="ListParagraph"/>
        <w:numPr>
          <w:ilvl w:val="0"/>
          <w:numId w:val="1"/>
        </w:numPr>
        <w:spacing w:after="90" w:line="286" w:lineRule="auto"/>
      </w:pPr>
      <w:r>
        <w:rPr>
          <w:b/>
          <w:bCs/>
          <w:color w:val="22303C"/>
          <w:sz w:val="21"/>
          <w:szCs w:val="21"/>
        </w:rPr>
        <w:t xml:space="preserve">Town-wide staffing totals</w:t>
      </w:r>
      <w:r>
        <w:rPr>
          <w:color w:val="22303C"/>
          <w:sz w:val="21"/>
          <w:szCs w:val="21"/>
        </w:rPr>
        <w:t xml:space="preserve"> — the 2025 budget book does not print a town-wide FTE total, and the 2015 book's narrative (65 FTE) conflicts with its own table (70.63). Staffing figures in Section 12.5 carry that uncertainty.</w:t>
      </w:r>
    </w:p>
    <w:p>
      <w:pPr>
        <w:pStyle w:val="ListParagraph"/>
        <w:numPr>
          <w:ilvl w:val="0"/>
          <w:numId w:val="1"/>
        </w:numPr>
        <w:spacing w:after="90" w:line="286" w:lineRule="auto"/>
      </w:pPr>
      <w:r>
        <w:rPr>
          <w:b/>
          <w:bCs/>
          <w:color w:val="22303C"/>
          <w:sz w:val="21"/>
          <w:szCs w:val="21"/>
        </w:rPr>
        <w:t xml:space="preserve">Carhenge project cost</w:t>
      </w:r>
      <w:r>
        <w:rPr>
          <w:color w:val="22303C"/>
          <w:sz w:val="21"/>
          <w:szCs w:val="21"/>
        </w:rPr>
        <w:t xml:space="preserve"> — the Town has published no cost estimate; the Section 12.6 figures are a Livable Telluride model whose underground-parking premium is expressly an unverified judgment. A published Town pro forma would replace them, and the framework verdict should be re-run against it.</w:t>
      </w:r>
    </w:p>
    <w:p>
      <w:pPr>
        <w:pStyle w:val="ListParagraph"/>
        <w:numPr>
          <w:ilvl w:val="0"/>
          <w:numId w:val="1"/>
        </w:numPr>
        <w:spacing w:after="90" w:line="286" w:lineRule="auto"/>
      </w:pPr>
      <w:r>
        <w:rPr>
          <w:b/>
          <w:bCs/>
          <w:color w:val="22303C"/>
          <w:sz w:val="21"/>
          <w:szCs w:val="21"/>
        </w:rPr>
        <w:t xml:space="preserve">Tax treatment of employer-adjacent housing benefits</w:t>
      </w:r>
      <w:r>
        <w:rPr>
          <w:color w:val="22303C"/>
          <w:sz w:val="21"/>
          <w:szCs w:val="21"/>
        </w:rPr>
        <w:t xml:space="preserve"> — whether, and in what circumstances, below-market occupancy provided by a public employer to its own employees constitutes taxable compensation is a question for tax counsel and is not addressed here.</w:t>
      </w:r>
    </w:p>
    <w:p>
      <w:pPr>
        <w:spacing w:after="150" w:before="330"/>
      </w:pPr>
      <w:r>
        <w:rPr>
          <w:b/>
          <w:bCs/>
          <w:color w:val="1D5C63"/>
          <w:sz w:val="30"/>
          <w:szCs w:val="30"/>
        </w:rPr>
        <w:t xml:space="preserve">Appendix A — Sources and reliability</w:t>
      </w:r>
    </w:p>
    <w:p>
      <w:pPr>
        <w:spacing w:after="170" w:line="296" w:lineRule="auto"/>
      </w:pPr>
      <w:r>
        <w:rPr>
          <w:color w:val="22303C"/>
          <w:sz w:val="21"/>
          <w:szCs w:val="21"/>
        </w:rPr>
        <w:t xml:space="preserve">All figures trace to the Livable Telluride housing baseline (v0.6.3, August 2026) and the investigation's evidence files. Principal sources by grade:</w:t>
      </w:r>
    </w:p>
    <w:p>
      <w:pPr>
        <w:spacing w:after="170" w:line="296" w:lineRule="auto"/>
      </w:pPr>
      <w:r>
        <w:rPr>
          <w:b/>
          <w:bCs/>
          <w:color w:val="22303C"/>
          <w:sz w:val="21"/>
          <w:szCs w:val="21"/>
        </w:rPr>
        <w:t xml:space="preserve">Grade A (official/adopted/audited):</w:t>
      </w:r>
      <w:r>
        <w:rPr>
          <w:color w:val="22303C"/>
          <w:sz w:val="21"/>
          <w:szCs w:val="21"/>
        </w:rPr>
        <w:t xml:space="preserve"> Telluride Employee Rental Housing Policies (amended May 19, 2026) and the Town's 2026 rent calculator; official 2025 AMI/rent tables (Shandoka, Sunnyside, Voodoo, Virginia Placer); MVHA 2026 Village Court fee schedule; Telluride Affordable Housing Guidelines (October 2025); San Miguel County All-Hazard Mitigation Plan (2023); TRWWTP Master Plan (2017); EPA ECHO compliance records; Town Water Efficiency Plan; SGM Norwood water studies (2020, 2022); PST Engineering TIS update (2025); Diamond Ridge TIS (2023); CHFA 2025/2026 limits; HUD FMR FY2025–26; Census ACS 2020–2024; BLS QCEW 2024; Town of Telluride 2025 budget; VooDoo bond documents; Whistler Housing Authority FY2025 audited statements; SMRHA certified lottery results (2026); Town of Vail InDEED records; Masson v. Board of County Commissioners (24CV8) trial order and Court of Appeals docket (2026CA391); gondola cost-sharing IGA and supplements.</w:t>
      </w:r>
    </w:p>
    <w:p>
      <w:pPr>
        <w:spacing w:after="170" w:line="296" w:lineRule="auto"/>
      </w:pPr>
      <w:r>
        <w:rPr>
          <w:b/>
          <w:bCs/>
          <w:color w:val="22303C"/>
          <w:sz w:val="21"/>
          <w:szCs w:val="21"/>
        </w:rPr>
        <w:t xml:space="preserve">Grade B (professional studies):</w:t>
      </w:r>
      <w:r>
        <w:rPr>
          <w:color w:val="22303C"/>
          <w:sz w:val="21"/>
          <w:szCs w:val="21"/>
        </w:rPr>
        <w:t xml:space="preserve"> San Miguel County Housing Needs Analysis (EPS/RRC, June 2025); 2024 RRC household and employer surveys; Residential Job Generation Study (RRC, 2000); Employee Generation by Land Use Study (Clarion/Nicholas/RRC, Teton County, 2013); Livable Telluride cost-tracker models and the companion report "Who Works for a House?" (August 2026).</w:t>
      </w:r>
    </w:p>
    <w:p>
      <w:pPr>
        <w:spacing w:after="170" w:line="296" w:lineRule="auto"/>
      </w:pPr>
      <w:r>
        <w:rPr>
          <w:b/>
          <w:bCs/>
          <w:color w:val="22303C"/>
          <w:sz w:val="21"/>
          <w:szCs w:val="21"/>
        </w:rPr>
        <w:t xml:space="preserve">Grade C (news/observation, labeled where used):</w:t>
      </w:r>
      <w:r>
        <w:rPr>
          <w:color w:val="22303C"/>
          <w:sz w:val="21"/>
          <w:szCs w:val="21"/>
        </w:rPr>
        <w:t xml:space="preserve"> The Colorado Sun (April 2026); Telluride Daily Planet; archived town notices (December 2024).</w:t>
      </w:r>
    </w:p>
    <w:p>
      <w:pPr>
        <w:spacing w:after="150" w:before="330"/>
      </w:pPr>
      <w:r>
        <w:rPr>
          <w:b/>
          <w:bCs/>
          <w:color w:val="1D5C63"/>
          <w:sz w:val="30"/>
          <w:szCs w:val="30"/>
        </w:rPr>
        <w:t xml:space="preserve">Endnotes</w:t>
      </w:r>
    </w:p>
    <w:p>
      <w:pPr>
        <w:spacing w:after="170" w:line="296" w:lineRule="auto"/>
      </w:pPr>
      <w:r>
        <w:rPr>
          <w:color w:val="22303C"/>
          <w:sz w:val="21"/>
          <w:szCs w:val="21"/>
        </w:rPr>
        <w:t xml:space="preserve">Notes marked [E] are Livable Telluride calculations or extrapolations; each states its method and assumptions. All other notes cite the underlying record.</w:t>
      </w:r>
    </w:p>
    <w:p>
      <w:pPr>
        <w:spacing w:after="130" w:line="276" w:lineRule="auto"/>
      </w:pPr>
      <w:r>
        <w:rPr>
          <w:b/>
          <w:bCs/>
          <w:color w:val="22303C"/>
          <w:sz w:val="20"/>
          <w:szCs w:val="20"/>
        </w:rPr>
        <w:t xml:space="preserve">1.  </w:t>
      </w:r>
      <w:r>
        <w:rPr>
          <w:color w:val="22303C"/>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pPr>
        <w:spacing w:after="130" w:line="276" w:lineRule="auto"/>
      </w:pPr>
      <w:r>
        <w:rPr>
          <w:b/>
          <w:bCs/>
          <w:color w:val="22303C"/>
          <w:sz w:val="20"/>
          <w:szCs w:val="20"/>
        </w:rPr>
        <w:t xml:space="preserve">2.  </w:t>
      </w:r>
      <w:r>
        <w:rPr>
          <w:color w:val="22303C"/>
          <w:sz w:val="20"/>
          <w:szCs w:val="20"/>
        </w:rPr>
        <w:t xml:space="preserve">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pPr>
        <w:spacing w:after="130" w:line="276" w:lineRule="auto"/>
      </w:pPr>
      <w:r>
        <w:rPr>
          <w:b/>
          <w:bCs/>
          <w:color w:val="22303C"/>
          <w:sz w:val="20"/>
          <w:szCs w:val="20"/>
        </w:rPr>
        <w:t xml:space="preserve">3.  </w:t>
      </w:r>
      <w:r>
        <w:rPr>
          <w:color w:val="22303C"/>
          <w:sz w:val="20"/>
          <w:szCs w:val="20"/>
        </w:rPr>
        <w:t xml:space="preserve">Livable Telluride housing-listings snapshot, July 31, 2026 (aggregating SMRHA and town listings): one deed-restricted rental listed countywide — a room in a 2-bedroom condo at $1,883/month, which equals the Guidelines' Tier 2 studio maximum exactly.</w:t>
      </w:r>
    </w:p>
    <w:p>
      <w:pPr>
        <w:spacing w:after="130" w:line="276" w:lineRule="auto"/>
      </w:pPr>
      <w:r>
        <w:rPr>
          <w:b/>
          <w:bCs/>
          <w:color w:val="22303C"/>
          <w:sz w:val="20"/>
          <w:szCs w:val="20"/>
        </w:rPr>
        <w:t xml:space="preserve">4.  </w:t>
      </w:r>
      <w:r>
        <w:rPr>
          <w:color w:val="22303C"/>
          <w:sz w:val="20"/>
          <w:szCs w:val="20"/>
        </w:rPr>
        <w:t xml:space="preserve">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pPr>
        <w:spacing w:after="130" w:line="276" w:lineRule="auto"/>
      </w:pPr>
      <w:r>
        <w:rPr>
          <w:b/>
          <w:bCs/>
          <w:color w:val="22303C"/>
          <w:sz w:val="20"/>
          <w:szCs w:val="20"/>
        </w:rPr>
        <w:t xml:space="preserve">5.  </w:t>
      </w:r>
      <w:r>
        <w:rPr>
          <w:color w:val="22303C"/>
          <w:sz w:val="20"/>
          <w:szCs w:val="20"/>
        </w:rPr>
        <w:t xml:space="preserve">Multiplier reduction from 27%/30% to 25% (Shandoka A–E) / 27% (all other properties): Policies Tables 3A/3B; council direction October 14, 2025; adopted October 28, 2025; effective January 1, 2026 (Town of Telluride records).</w:t>
      </w:r>
    </w:p>
    <w:p>
      <w:pPr>
        <w:spacing w:after="130" w:line="276" w:lineRule="auto"/>
      </w:pPr>
      <w:r>
        <w:rPr>
          <w:b/>
          <w:bCs/>
          <w:color w:val="22303C"/>
          <w:sz w:val="20"/>
          <w:szCs w:val="20"/>
        </w:rPr>
        <w:t xml:space="preserve">6.  </w:t>
      </w:r>
      <w:r>
        <w:rPr>
          <w:color w:val="22303C"/>
          <w:sz w:val="20"/>
          <w:szCs w:val="20"/>
        </w:rPr>
        <w:t xml:space="preserve">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pPr>
        <w:spacing w:after="130" w:line="276" w:lineRule="auto"/>
      </w:pPr>
      <w:r>
        <w:rPr>
          <w:b/>
          <w:bCs/>
          <w:color w:val="22303C"/>
          <w:sz w:val="20"/>
          <w:szCs w:val="20"/>
        </w:rPr>
        <w:t xml:space="preserve">7.  </w:t>
      </w:r>
      <w:r>
        <w:rPr>
          <w:color w:val="22303C"/>
          <w:sz w:val="20"/>
          <w:szCs w:val="20"/>
        </w:rPr>
        <w:t xml:space="preserve">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pPr>
        <w:spacing w:after="130" w:line="276" w:lineRule="auto"/>
      </w:pPr>
      <w:r>
        <w:rPr>
          <w:b/>
          <w:bCs/>
          <w:color w:val="22303C"/>
          <w:sz w:val="20"/>
          <w:szCs w:val="20"/>
        </w:rPr>
        <w:t xml:space="preserve">8.  </w:t>
      </w:r>
      <w:r>
        <w:rPr>
          <w:color w:val="22303C"/>
          <w:sz w:val="20"/>
          <w:szCs w:val="20"/>
        </w:rPr>
        <w:t xml:space="preserve">Same QCEW 2024 file: accommodation &amp; food services 1,532 average jobs (largest sector); arts/entertainment/recreation 856 (second largest).</w:t>
      </w:r>
    </w:p>
    <w:p>
      <w:pPr>
        <w:spacing w:after="130" w:line="276" w:lineRule="auto"/>
      </w:pPr>
      <w:r>
        <w:rPr>
          <w:b/>
          <w:bCs/>
          <w:color w:val="22303C"/>
          <w:sz w:val="20"/>
          <w:szCs w:val="20"/>
        </w:rPr>
        <w:t xml:space="preserve">9.  </w:t>
      </w:r>
      <w:r>
        <w:rPr>
          <w:color w:val="22303C"/>
          <w:sz w:val="20"/>
          <w:szCs w:val="20"/>
        </w:rPr>
        <w:t xml:space="preserve">2024 San Miguel County Regional Household Survey (RRC Associates; n=338 renter respondents), as reported in the San Miguel County Housing Needs Analysis (EPS/RRC, June 2025): median reported market-rate rent $1,848/month.</w:t>
      </w:r>
    </w:p>
    <w:p>
      <w:pPr>
        <w:spacing w:after="130" w:line="276" w:lineRule="auto"/>
      </w:pPr>
      <w:r>
        <w:rPr>
          <w:b/>
          <w:bCs/>
          <w:color w:val="22303C"/>
          <w:sz w:val="20"/>
          <w:szCs w:val="20"/>
        </w:rPr>
        <w:t xml:space="preserve">10.  </w:t>
      </w:r>
      <w:r>
        <w:rPr>
          <w:color w:val="22303C"/>
          <w:sz w:val="20"/>
          <w:szCs w:val="20"/>
        </w:rPr>
        <w:t xml:space="preserve">U.S. Census Bureau, American Community Survey 5-year estimates 2020–2024, table B25064: Town of Telluride median gross rent $3,056 (margin of error ±$359); San Miguel County $1,149 (±$57). Retrieved July 31, 2026.</w:t>
      </w:r>
    </w:p>
    <w:p>
      <w:pPr>
        <w:spacing w:after="130" w:line="276" w:lineRule="auto"/>
      </w:pPr>
      <w:r>
        <w:rPr>
          <w:b/>
          <w:bCs/>
          <w:color w:val="22303C"/>
          <w:sz w:val="20"/>
          <w:szCs w:val="20"/>
        </w:rPr>
        <w:t xml:space="preserve">11.  </w:t>
      </w:r>
      <w:r>
        <w:rPr>
          <w:color w:val="22303C"/>
          <w:sz w:val="20"/>
          <w:szCs w:val="20"/>
        </w:rPr>
        <w:t xml:space="preserve">The 30%-of-income affordability standard is the U.S. Department of Housing and Urban Development convention, used in the county HNA and in both towns' program documents.</w:t>
      </w:r>
    </w:p>
    <w:p>
      <w:pPr>
        <w:spacing w:after="130" w:line="276" w:lineRule="auto"/>
      </w:pPr>
      <w:r>
        <w:rPr>
          <w:b/>
          <w:bCs/>
          <w:color w:val="22303C"/>
          <w:sz w:val="20"/>
          <w:szCs w:val="20"/>
        </w:rPr>
        <w:t xml:space="preserve">12.  </w:t>
      </w:r>
      <w:r>
        <w:rPr>
          <w:color w:val="22303C"/>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pPr>
        <w:spacing w:after="130" w:line="276" w:lineRule="auto"/>
      </w:pPr>
      <w:r>
        <w:rPr>
          <w:b/>
          <w:bCs/>
          <w:color w:val="22303C"/>
          <w:sz w:val="20"/>
          <w:szCs w:val="20"/>
        </w:rPr>
        <w:t xml:space="preserve">13.  </w:t>
      </w:r>
      <w:r>
        <w:rPr>
          <w:color w:val="22303C"/>
          <w:sz w:val="20"/>
          <w:szCs w:val="20"/>
        </w:rPr>
        <w:t xml:space="preserve">Search of Telluride council/THA meeting packets (2024–2026) found no systematic occupancy or vacancy table; the January 27, 2026 THA packet, read in full, contains none. Vacancy figures in this report come from news reporting of staff statements, labeled Grade C.</w:t>
      </w:r>
    </w:p>
    <w:p>
      <w:pPr>
        <w:spacing w:after="130" w:line="276" w:lineRule="auto"/>
      </w:pPr>
      <w:r>
        <w:rPr>
          <w:b/>
          <w:bCs/>
          <w:color w:val="22303C"/>
          <w:sz w:val="20"/>
          <w:szCs w:val="20"/>
        </w:rPr>
        <w:t xml:space="preserve">14.  </w:t>
      </w:r>
      <w:r>
        <w:rPr>
          <w:color w:val="22303C"/>
          <w:sz w:val="20"/>
          <w:szCs w:val="20"/>
        </w:rPr>
        <w:t xml:space="preserve">Village Court waitlist ~1,000 households at its 2020 cap: Mountain Village Housing Authority records as reported in regional press; the list remained capped through mid-2026.</w:t>
      </w:r>
    </w:p>
    <w:p>
      <w:pPr>
        <w:spacing w:after="130" w:line="276" w:lineRule="auto"/>
      </w:pPr>
      <w:r>
        <w:rPr>
          <w:b/>
          <w:bCs/>
          <w:color w:val="22303C"/>
          <w:sz w:val="20"/>
          <w:szCs w:val="20"/>
        </w:rPr>
        <w:t xml:space="preserve">15.  </w:t>
      </w:r>
      <w:r>
        <w:rPr>
          <w:color w:val="22303C"/>
          <w:sz w:val="20"/>
          <w:szCs w:val="20"/>
        </w:rPr>
        <w:t xml:space="preserve">November 2023 studio-waitlist reopening rationed to the first 50 applications, reached within two hours: Town of Mountain Village/MVHA records and contemporaneous reporting.</w:t>
      </w:r>
    </w:p>
    <w:p>
      <w:pPr>
        <w:spacing w:after="130" w:line="276" w:lineRule="auto"/>
      </w:pPr>
      <w:r>
        <w:rPr>
          <w:b/>
          <w:bCs/>
          <w:color w:val="22303C"/>
          <w:sz w:val="20"/>
          <w:szCs w:val="20"/>
        </w:rPr>
        <w:t xml:space="preserve">16.  </w:t>
      </w:r>
      <w:r>
        <w:rPr>
          <w:color w:val="22303C"/>
          <w:sz w:val="20"/>
          <w:szCs w:val="20"/>
        </w:rPr>
        <w:t xml:space="preserve">San Miguel Regional Housing Authority, certified lottery results, April 24, 2026: 18 qualified households (26 weighted entries) for three ownership units (Silver Jack 202: 6 entrants; Silver Jack 205: 16; Element 52 SW-102: 7). Prices $352,529–$405,507.</w:t>
      </w:r>
    </w:p>
    <w:p>
      <w:pPr>
        <w:spacing w:after="130" w:line="276" w:lineRule="auto"/>
      </w:pPr>
      <w:r>
        <w:rPr>
          <w:b/>
          <w:bCs/>
          <w:color w:val="22303C"/>
          <w:sz w:val="20"/>
          <w:szCs w:val="20"/>
        </w:rPr>
        <w:t xml:space="preserve">17.  </w:t>
      </w:r>
      <w:r>
        <w:rPr>
          <w:color w:val="22303C"/>
          <w:sz w:val="20"/>
          <w:szCs w:val="20"/>
        </w:rPr>
        <w:t xml:space="preserve">Town of Telluride Voodoo Employee Rental Housing Lottery records (placement document 14685), drawing held August 29, 2024: 33 applicant households for 27 apartments (≈1.2 per home).</w:t>
      </w:r>
    </w:p>
    <w:p>
      <w:pPr>
        <w:spacing w:after="130" w:line="276" w:lineRule="auto"/>
      </w:pPr>
      <w:r>
        <w:rPr>
          <w:b/>
          <w:bCs/>
          <w:color w:val="22303C"/>
          <w:sz w:val="20"/>
          <w:szCs w:val="20"/>
        </w:rPr>
        <w:t xml:space="preserve">18.  </w:t>
      </w:r>
      <w:r>
        <w:rPr>
          <w:color w:val="22303C"/>
          <w:sz w:val="20"/>
          <w:szCs w:val="20"/>
        </w:rPr>
        <w:t xml:space="preserve">Town of Telluride news alert 'Rental housing applications open for remaining Voodoo units' (CivicAlerts AID=312, December 18, 2024; original page since removed, recovered via the Internet Archive): five units remained — one studio at $2,301, three-bedrooms at $2,961 and $3,455, and the four-bedroom at $3,562 — with the residency/employment history requirement reduced from three years to one and units offered first-come, first-served.</w:t>
      </w:r>
    </w:p>
    <w:p>
      <w:pPr>
        <w:spacing w:after="130" w:line="276" w:lineRule="auto"/>
      </w:pPr>
      <w:r>
        <w:rPr>
          <w:b/>
          <w:bCs/>
          <w:color w:val="22303C"/>
          <w:sz w:val="20"/>
          <w:szCs w:val="20"/>
        </w:rPr>
        <w:t xml:space="preserve">19.  </w:t>
      </w:r>
      <w:r>
        <w:rPr>
          <w:color w:val="22303C"/>
          <w:sz w:val="20"/>
          <w:szCs w:val="20"/>
        </w:rPr>
        <w:t xml:space="preserve">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pPr>
        <w:spacing w:after="130" w:line="276" w:lineRule="auto"/>
      </w:pPr>
      <w:r>
        <w:rPr>
          <w:b/>
          <w:bCs/>
          <w:color w:val="22303C"/>
          <w:sz w:val="20"/>
          <w:szCs w:val="20"/>
        </w:rPr>
        <w:t xml:space="preserve">20.  </w:t>
      </w:r>
      <w:r>
        <w:rPr>
          <w:color w:val="22303C"/>
          <w:sz w:val="20"/>
          <w:szCs w:val="20"/>
        </w:rPr>
        <w:t xml:space="preserve">The Colorado Sun, April 19, 2026 ('In Telluride, new regulations designed to help renters are instead driving many out of town'): of January 2025 renewals, 82 rents increased (35 by more than 49%), 57 stayed flat, 35 decreased.</w:t>
      </w:r>
    </w:p>
    <w:p>
      <w:pPr>
        <w:spacing w:after="130" w:line="276" w:lineRule="auto"/>
      </w:pPr>
      <w:r>
        <w:rPr>
          <w:b/>
          <w:bCs/>
          <w:color w:val="22303C"/>
          <w:sz w:val="20"/>
          <w:szCs w:val="20"/>
        </w:rPr>
        <w:t xml:space="preserve">21.  </w:t>
      </w:r>
      <w:r>
        <w:rPr>
          <w:color w:val="22303C"/>
          <w:sz w:val="20"/>
          <w:szCs w:val="20"/>
        </w:rPr>
        <w:t xml:space="preserve">Same Colorado Sun report: 49 of 201 town units vacant in April 2026 (~24%), roughly 15 of them held for renovation.</w:t>
      </w:r>
    </w:p>
    <w:p>
      <w:pPr>
        <w:spacing w:after="130" w:line="276" w:lineRule="auto"/>
      </w:pPr>
      <w:r>
        <w:rPr>
          <w:b/>
          <w:bCs/>
          <w:color w:val="22303C"/>
          <w:sz w:val="20"/>
          <w:szCs w:val="20"/>
        </w:rPr>
        <w:t xml:space="preserve">22.  </w:t>
      </w:r>
      <w:r>
        <w:rPr>
          <w:color w:val="22303C"/>
          <w:sz w:val="20"/>
          <w:szCs w:val="20"/>
        </w:rPr>
        <w:t xml:space="preserve">Same Colorado Sun report, quoting the Town's housing director: vacancies were 'not because of a lack of demand.'</w:t>
      </w:r>
    </w:p>
    <w:p>
      <w:pPr>
        <w:spacing w:after="130" w:line="276" w:lineRule="auto"/>
      </w:pPr>
      <w:r>
        <w:rPr>
          <w:b/>
          <w:bCs/>
          <w:color w:val="22303C"/>
          <w:sz w:val="20"/>
          <w:szCs w:val="20"/>
        </w:rPr>
        <w:t xml:space="preserve">23.  </w:t>
      </w:r>
      <w:r>
        <w:rPr>
          <w:color w:val="22303C"/>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pPr>
        <w:spacing w:after="130" w:line="276" w:lineRule="auto"/>
      </w:pPr>
      <w:r>
        <w:rPr>
          <w:b/>
          <w:bCs/>
          <w:color w:val="22303C"/>
          <w:sz w:val="20"/>
          <w:szCs w:val="20"/>
        </w:rPr>
        <w:t xml:space="preserve">24.  </w:t>
      </w:r>
      <w:r>
        <w:rPr>
          <w:color w:val="22303C"/>
          <w:sz w:val="20"/>
          <w:szCs w:val="20"/>
        </w:rPr>
        <w:t xml:space="preserve">[E] Subsidy model —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pPr>
        <w:spacing w:after="130" w:line="276" w:lineRule="auto"/>
      </w:pPr>
      <w:r>
        <w:rPr>
          <w:b/>
          <w:bCs/>
          <w:color w:val="22303C"/>
          <w:sz w:val="20"/>
          <w:szCs w:val="20"/>
        </w:rPr>
        <w:t xml:space="preserve">25.  </w:t>
      </w:r>
      <w:r>
        <w:rPr>
          <w:color w:val="22303C"/>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0.73x, below the 1.00x minimum lenders accept. Total cost through 2032: approximately $41M under the balloon structure (approximately $34M if amortized over ten years).</w:t>
      </w:r>
    </w:p>
    <w:p>
      <w:pPr>
        <w:spacing w:after="130" w:line="276" w:lineRule="auto"/>
      </w:pPr>
      <w:r>
        <w:rPr>
          <w:b/>
          <w:bCs/>
          <w:color w:val="22303C"/>
          <w:sz w:val="20"/>
          <w:szCs w:val="20"/>
        </w:rPr>
        <w:t xml:space="preserve">26.  </w:t>
      </w:r>
      <w:r>
        <w:rPr>
          <w:color w:val="22303C"/>
          <w:sz w:val="20"/>
          <w:szCs w:val="20"/>
        </w:rPr>
        <w:t xml:space="preserve">[E] Exhibit values apply the note-24 model at CHFA 2026 two-bedroom rents — $1,770 (60% AMI), $2,950 (100%), $4,130 (140%): rent-financed $221k / $416k / $612k; public $1.035M / $840k / $644k of the $1.256M unit cost.</w:t>
      </w:r>
    </w:p>
    <w:p>
      <w:pPr>
        <w:spacing w:after="130" w:line="276" w:lineRule="auto"/>
      </w:pPr>
      <w:r>
        <w:rPr>
          <w:b/>
          <w:bCs/>
          <w:color w:val="22303C"/>
          <w:sz w:val="20"/>
          <w:szCs w:val="20"/>
        </w:rPr>
        <w:t xml:space="preserve">27.  </w:t>
      </w:r>
      <w:r>
        <w:rPr>
          <w:color w:val="22303C"/>
          <w:sz w:val="20"/>
          <w:szCs w:val="20"/>
        </w:rPr>
        <w:t xml:space="preserve">Sunnyside cost: cost tracker documented model — $15.48M ÷ 30 units = $516,103/unit; land contributed by San Miguel County at no charge; $11.965M financed (Series 2021A/B, maturing 2040 with $6.17M balloon) plus $3.51M town cash.</w:t>
      </w:r>
    </w:p>
    <w:p>
      <w:pPr>
        <w:spacing w:after="130" w:line="276" w:lineRule="auto"/>
      </w:pPr>
      <w:r>
        <w:rPr>
          <w:b/>
          <w:bCs/>
          <w:color w:val="22303C"/>
          <w:sz w:val="20"/>
          <w:szCs w:val="20"/>
        </w:rPr>
        <w:t xml:space="preserve">28.  </w:t>
      </w:r>
      <w:r>
        <w:rPr>
          <w:color w:val="22303C"/>
          <w:sz w:val="20"/>
          <w:szCs w:val="20"/>
        </w:rPr>
        <w:t xml:space="preserve">Shandoka Lot L (proposed, Alternative 2B, May 2026 feasibility study): $181.29M across 55 units, approximately $3.3M per unit — excluded from the delivery-cost exhibit because the figure includes an approximately 900-space parking garage (about $108M) and other shared facilities, making it a mixed-use facility cost rather than a pure housing cost.</w:t>
      </w:r>
    </w:p>
    <w:p>
      <w:pPr>
        <w:spacing w:after="130" w:line="276" w:lineRule="auto"/>
      </w:pPr>
      <w:r>
        <w:rPr>
          <w:b/>
          <w:bCs/>
          <w:color w:val="22303C"/>
          <w:sz w:val="20"/>
          <w:szCs w:val="20"/>
        </w:rPr>
        <w:t xml:space="preserve">29.  </w:t>
      </w:r>
      <w:r>
        <w:rPr>
          <w:color w:val="22303C"/>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pPr>
        <w:spacing w:after="130" w:line="276" w:lineRule="auto"/>
      </w:pPr>
      <w:r>
        <w:rPr>
          <w:b/>
          <w:bCs/>
          <w:color w:val="22303C"/>
          <w:sz w:val="20"/>
          <w:szCs w:val="20"/>
        </w:rPr>
        <w:t xml:space="preserve">30.  </w:t>
      </w:r>
      <w:r>
        <w:rPr>
          <w:color w:val="22303C"/>
          <w:sz w:val="20"/>
          <w:szCs w:val="20"/>
        </w:rPr>
        <w:t xml:space="preserve">Whistler Housing Authority FY2025: capital reserve contributions equal to $2,400–3,900 per unit per year, tiered at 4%/10%/25% of revenue by building age. Applied to 251 units: ≈$600,000–1,000,000/year.</w:t>
      </w:r>
    </w:p>
    <w:p>
      <w:pPr>
        <w:spacing w:after="130" w:line="276" w:lineRule="auto"/>
      </w:pPr>
      <w:r>
        <w:rPr>
          <w:b/>
          <w:bCs/>
          <w:color w:val="22303C"/>
          <w:sz w:val="20"/>
          <w:szCs w:val="20"/>
        </w:rPr>
        <w:t xml:space="preserve">31.  </w:t>
      </w:r>
      <w:r>
        <w:rPr>
          <w:color w:val="22303C"/>
          <w:sz w:val="20"/>
          <w:szCs w:val="20"/>
        </w:rPr>
        <w:t xml:space="preserve">Bond balloons: VooDoo 2022A/B and 2023 series mature December 2032 with a $23.05M balloon; Sunnyside Series 2021A/B mature 2040 with a $6.17M balloon (official statements, summarized in the cost tracker).</w:t>
      </w:r>
    </w:p>
    <w:p>
      <w:pPr>
        <w:spacing w:after="130" w:line="276" w:lineRule="auto"/>
      </w:pPr>
      <w:r>
        <w:rPr>
          <w:b/>
          <w:bCs/>
          <w:color w:val="22303C"/>
          <w:sz w:val="20"/>
          <w:szCs w:val="20"/>
        </w:rPr>
        <w:t xml:space="preserve">32.  </w:t>
      </w:r>
      <w:r>
        <w:rPr>
          <w:color w:val="22303C"/>
          <w:sz w:val="20"/>
          <w:szCs w:val="20"/>
        </w:rPr>
        <w:t xml:space="preserve">Town of Telluride 2025 adopted budget: Community Services–Housing $13.76M (Shandoka $11.1M including capital; VooDoo $1.21M; Sunnyside $821k; Virginia Placer $758k); 8.48 housing FTE plus 2 Housing Development staff.</w:t>
      </w:r>
    </w:p>
    <w:p>
      <w:pPr>
        <w:spacing w:after="130" w:line="276" w:lineRule="auto"/>
      </w:pPr>
      <w:r>
        <w:rPr>
          <w:b/>
          <w:bCs/>
          <w:color w:val="22303C"/>
          <w:sz w:val="20"/>
          <w:szCs w:val="20"/>
        </w:rPr>
        <w:t xml:space="preserve">33.  </w:t>
      </w:r>
      <w:r>
        <w:rPr>
          <w:color w:val="22303C"/>
          <w:sz w:val="20"/>
          <w:szCs w:val="20"/>
        </w:rPr>
        <w:t xml:space="preserve">Aspen-Pitkin County Housing Authority: ~$10M 2025 budget, ~$1.9M administration, ~3,100 units overseen (347 directly managed).</w:t>
      </w:r>
    </w:p>
    <w:p>
      <w:pPr>
        <w:spacing w:after="130" w:line="276" w:lineRule="auto"/>
      </w:pPr>
      <w:r>
        <w:rPr>
          <w:b/>
          <w:bCs/>
          <w:color w:val="22303C"/>
          <w:sz w:val="20"/>
          <w:szCs w:val="20"/>
        </w:rPr>
        <w:t xml:space="preserve">34.  </w:t>
      </w:r>
      <w:r>
        <w:rPr>
          <w:color w:val="22303C"/>
          <w:sz w:val="20"/>
          <w:szCs w:val="20"/>
        </w:rPr>
        <w:t xml:space="preserve">Vail InDEED program: ~$62,000–68,000 average per deed restriction; 162 restrictions for ~$11M by 2021 (Town of Vail program records).</w:t>
      </w:r>
    </w:p>
    <w:p>
      <w:pPr>
        <w:spacing w:after="130" w:line="276" w:lineRule="auto"/>
      </w:pPr>
      <w:r>
        <w:rPr>
          <w:b/>
          <w:bCs/>
          <w:color w:val="22303C"/>
          <w:sz w:val="20"/>
          <w:szCs w:val="20"/>
        </w:rPr>
        <w:t xml:space="preserve">35.  </w:t>
      </w:r>
      <w:r>
        <w:rPr>
          <w:color w:val="22303C"/>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pPr>
        <w:spacing w:after="130" w:line="276" w:lineRule="auto"/>
      </w:pPr>
      <w:r>
        <w:rPr>
          <w:b/>
          <w:bCs/>
          <w:color w:val="22303C"/>
          <w:sz w:val="20"/>
          <w:szCs w:val="20"/>
        </w:rPr>
        <w:t xml:space="preserve">36.  </w:t>
      </w:r>
      <w:r>
        <w:rPr>
          <w:color w:val="22303C"/>
          <w:sz w:val="20"/>
          <w:szCs w:val="20"/>
        </w:rPr>
        <w:t xml:space="preserve">On-site expansion design-build contract canceled January 2024 after the 30% design priced above $133M for approximately +0.2 MGD of capacity; the Town's 2025 budget carries $9.7M of interim wastewater capital and a $139.1M five-year capital-improvement placeholder.</w:t>
      </w:r>
    </w:p>
    <w:p>
      <w:pPr>
        <w:spacing w:after="130" w:line="276" w:lineRule="auto"/>
      </w:pPr>
      <w:r>
        <w:rPr>
          <w:b/>
          <w:bCs/>
          <w:color w:val="22303C"/>
          <w:sz w:val="20"/>
          <w:szCs w:val="20"/>
        </w:rPr>
        <w:t xml:space="preserve">37.  </w:t>
      </w:r>
      <w:r>
        <w:rPr>
          <w:color w:val="22303C"/>
          <w:sz w:val="20"/>
          <w:szCs w:val="20"/>
        </w:rPr>
        <w:t xml:space="preserve">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pPr>
        <w:spacing w:after="130" w:line="276" w:lineRule="auto"/>
      </w:pPr>
      <w:r>
        <w:rPr>
          <w:b/>
          <w:bCs/>
          <w:color w:val="22303C"/>
          <w:sz w:val="20"/>
          <w:szCs w:val="20"/>
        </w:rPr>
        <w:t xml:space="preserve">38.  </w:t>
      </w:r>
      <w:r>
        <w:rPr>
          <w:color w:val="22303C"/>
          <w:sz w:val="20"/>
          <w:szCs w:val="20"/>
        </w:rPr>
        <w:t xml:space="preserve">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pPr>
        <w:spacing w:after="130" w:line="276" w:lineRule="auto"/>
      </w:pPr>
      <w:r>
        <w:rPr>
          <w:b/>
          <w:bCs/>
          <w:color w:val="22303C"/>
          <w:sz w:val="20"/>
          <w:szCs w:val="20"/>
        </w:rPr>
        <w:t xml:space="preserve">39.  </w:t>
      </w:r>
      <w:r>
        <w:rPr>
          <w:color w:val="22303C"/>
          <w:sz w:val="20"/>
          <w:szCs w:val="20"/>
        </w:rPr>
        <w:t xml:space="preserve">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pPr>
        <w:spacing w:after="130" w:line="276" w:lineRule="auto"/>
      </w:pPr>
      <w:r>
        <w:rPr>
          <w:b/>
          <w:bCs/>
          <w:color w:val="22303C"/>
          <w:sz w:val="20"/>
          <w:szCs w:val="20"/>
        </w:rPr>
        <w:t xml:space="preserve">40.  </w:t>
      </w:r>
      <w:r>
        <w:rPr>
          <w:color w:val="22303C"/>
          <w:sz w:val="20"/>
          <w:szCs w:val="20"/>
        </w:rPr>
        <w:t xml:space="preserve">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 Of the ~$8.2M annual 3A revenue, approximately $5.5M funds operations and maintenance, leaving ~$2.7M for capital (note 70).</w:t>
      </w:r>
    </w:p>
    <w:p>
      <w:pPr>
        <w:spacing w:after="130" w:line="276" w:lineRule="auto"/>
      </w:pPr>
      <w:r>
        <w:rPr>
          <w:b/>
          <w:bCs/>
          <w:color w:val="22303C"/>
          <w:sz w:val="20"/>
          <w:szCs w:val="20"/>
        </w:rPr>
        <w:t xml:space="preserve">41.  </w:t>
      </w:r>
      <w:r>
        <w:rPr>
          <w:color w:val="22303C"/>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pPr>
        <w:spacing w:after="130" w:line="276" w:lineRule="auto"/>
      </w:pPr>
      <w:r>
        <w:rPr>
          <w:b/>
          <w:bCs/>
          <w:color w:val="22303C"/>
          <w:sz w:val="20"/>
          <w:szCs w:val="20"/>
        </w:rPr>
        <w:t xml:space="preserve">42.  </w:t>
      </w:r>
      <w:r>
        <w:rPr>
          <w:color w:val="22303C"/>
          <w:sz w:val="20"/>
          <w:szCs w:val="20"/>
        </w:rPr>
        <w:t xml:space="preserve">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pPr>
        <w:spacing w:after="130" w:line="276" w:lineRule="auto"/>
      </w:pPr>
      <w:r>
        <w:rPr>
          <w:b/>
          <w:bCs/>
          <w:color w:val="22303C"/>
          <w:sz w:val="20"/>
          <w:szCs w:val="20"/>
        </w:rPr>
        <w:t xml:space="preserve">43.  </w:t>
      </w:r>
      <w:r>
        <w:rPr>
          <w:color w:val="22303C"/>
          <w:sz w:val="20"/>
          <w:szCs w:val="20"/>
        </w:rPr>
        <w:t xml:space="preserve">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pPr>
        <w:spacing w:after="130" w:line="276" w:lineRule="auto"/>
      </w:pPr>
      <w:r>
        <w:rPr>
          <w:b/>
          <w:bCs/>
          <w:color w:val="22303C"/>
          <w:sz w:val="20"/>
          <w:szCs w:val="20"/>
        </w:rPr>
        <w:t xml:space="preserve">44.  </w:t>
      </w:r>
      <w:r>
        <w:rPr>
          <w:color w:val="22303C"/>
          <w:sz w:val="20"/>
          <w:szCs w:val="20"/>
        </w:rPr>
        <w:t xml:space="preserve">Sanibel, Florida (comprehensive plan, 1976 onward): build-out cap grounded in hurricane-evacuation clearance time; upheld in litigation; documented in the investigation's peer-community research with sources.</w:t>
      </w:r>
    </w:p>
    <w:p>
      <w:pPr>
        <w:spacing w:after="130" w:line="276" w:lineRule="auto"/>
      </w:pPr>
      <w:r>
        <w:rPr>
          <w:b/>
          <w:bCs/>
          <w:color w:val="22303C"/>
          <w:sz w:val="20"/>
          <w:szCs w:val="20"/>
        </w:rPr>
        <w:t xml:space="preserve">45.  </w:t>
      </w:r>
      <w:r>
        <w:rPr>
          <w:color w:val="22303C"/>
          <w:sz w:val="20"/>
          <w:szCs w:val="20"/>
        </w:rPr>
        <w:t xml:space="preserve">[E] Service-employment overhead of 15–35% per housed household: range synthesized from resort-region economic studies (including Pitkin County's 2025 EPS/RRC finding that residences now generate 0.096 FTE per 1,000 sq ft — homes account for ~14% of county jobs) and standard service-multiplier literature; full sourcing in the investigation's induced-growth evidence file. The series converges mathematically; it is an overhead, not a runaway.</w:t>
      </w:r>
    </w:p>
    <w:p>
      <w:pPr>
        <w:spacing w:after="130" w:line="276" w:lineRule="auto"/>
      </w:pPr>
      <w:r>
        <w:rPr>
          <w:b/>
          <w:bCs/>
          <w:color w:val="22303C"/>
          <w:sz w:val="20"/>
          <w:szCs w:val="20"/>
        </w:rPr>
        <w:t xml:space="preserve">46.  </w:t>
      </w:r>
      <w:r>
        <w:rPr>
          <w:color w:val="22303C"/>
          <w:sz w:val="20"/>
          <w:szCs w:val="20"/>
        </w:rPr>
        <w:t xml:space="preserve">Telluride Land Use Code housing-mitigation standards: job generation assessed at ~2.5 employees per 1,000 sq ft of commercial space with 40% mitigation. Comparison: Aspen assesses 4.7 per 1,000 sq ft and mitigates 65%.</w:t>
      </w:r>
    </w:p>
    <w:p>
      <w:pPr>
        <w:spacing w:after="130" w:line="276" w:lineRule="auto"/>
      </w:pPr>
      <w:r>
        <w:rPr>
          <w:b/>
          <w:bCs/>
          <w:color w:val="22303C"/>
          <w:sz w:val="20"/>
          <w:szCs w:val="20"/>
        </w:rPr>
        <w:t xml:space="preserve">47.  </w:t>
      </w:r>
      <w:r>
        <w:rPr>
          <w:color w:val="22303C"/>
          <w:sz w:val="20"/>
          <w:szCs w:val="20"/>
        </w:rPr>
        <w:t xml:space="preserve">[E]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pPr>
        <w:spacing w:after="130" w:line="276" w:lineRule="auto"/>
      </w:pPr>
      <w:r>
        <w:rPr>
          <w:b/>
          <w:bCs/>
          <w:color w:val="22303C"/>
          <w:sz w:val="20"/>
          <w:szCs w:val="20"/>
        </w:rPr>
        <w:t xml:space="preserve">48.  </w:t>
      </w:r>
      <w:r>
        <w:rPr>
          <w:color w:val="22303C"/>
          <w:sz w:val="20"/>
          <w:szCs w:val="20"/>
        </w:rPr>
        <w:t xml:space="preserve">Aspen/Pitkin: 3,100+ APCHA units; ~7,500 workers/day still commute in; ~62% of the county workforce lives outside the county; fee-in-lieu now $328k–$408k per employee housed (APCHA and Pitkin County records; investigation evidence file).</w:t>
      </w:r>
    </w:p>
    <w:p>
      <w:pPr>
        <w:spacing w:after="130" w:line="276" w:lineRule="auto"/>
      </w:pPr>
      <w:r>
        <w:rPr>
          <w:b/>
          <w:bCs/>
          <w:color w:val="22303C"/>
          <w:sz w:val="20"/>
          <w:szCs w:val="20"/>
        </w:rPr>
        <w:t xml:space="preserve">49.  </w:t>
      </w:r>
      <w:r>
        <w:rPr>
          <w:color w:val="22303C"/>
          <w:sz w:val="20"/>
          <w:szCs w:val="20"/>
        </w:rPr>
        <w:t xml:space="preserve">Whistler: Official Community Plan bed-unit cap (52,500 in 1989, ~61,500 + 1,000 in the 2020 OCP); Whistler Housing Authority reports ~84% of the workforce living locally.</w:t>
      </w:r>
    </w:p>
    <w:p>
      <w:pPr>
        <w:spacing w:after="130" w:line="276" w:lineRule="auto"/>
      </w:pPr>
      <w:r>
        <w:rPr>
          <w:b/>
          <w:bCs/>
          <w:color w:val="22303C"/>
          <w:sz w:val="20"/>
          <w:szCs w:val="20"/>
        </w:rPr>
        <w:t xml:space="preserve">50.  </w:t>
      </w:r>
      <w:r>
        <w:rPr>
          <w:color w:val="22303C"/>
          <w:sz w:val="20"/>
          <w:szCs w:val="20"/>
        </w:rPr>
        <w:t xml:space="preserve">Big Sky, Montana (no comparable housing program): ~80% of the workforce commutes in, largely through Gallatin Canyon (regional studies; investigation evidence file).</w:t>
      </w:r>
    </w:p>
    <w:p>
      <w:pPr>
        <w:spacing w:after="130" w:line="276" w:lineRule="auto"/>
      </w:pPr>
      <w:r>
        <w:rPr>
          <w:b/>
          <w:bCs/>
          <w:color w:val="22303C"/>
          <w:sz w:val="20"/>
          <w:szCs w:val="20"/>
        </w:rPr>
        <w:t xml:space="preserve">51.  </w:t>
      </w:r>
      <w:r>
        <w:rPr>
          <w:color w:val="22303C"/>
          <w:sz w:val="20"/>
          <w:szCs w:val="20"/>
        </w:rPr>
        <w:t xml:space="preserve">[E] Land inventory —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pPr>
        <w:spacing w:after="130" w:line="276" w:lineRule="auto"/>
      </w:pPr>
      <w:r>
        <w:rPr>
          <w:b/>
          <w:bCs/>
          <w:color w:val="22303C"/>
          <w:sz w:val="20"/>
          <w:szCs w:val="20"/>
        </w:rPr>
        <w:t xml:space="preserve">52.  </w:t>
      </w:r>
      <w:r>
        <w:rPr>
          <w:color w:val="22303C"/>
          <w:sz w:val="20"/>
          <w:szCs w:val="20"/>
        </w:rPr>
        <w:t xml:space="preserve">Colorado HB23-1255 (2023) prohibits local governments from enforcing residential growth caps of the Aspen/Boulder annual-permit type.</w:t>
      </w:r>
    </w:p>
    <w:p>
      <w:pPr>
        <w:spacing w:after="130" w:line="276" w:lineRule="auto"/>
      </w:pPr>
      <w:r>
        <w:rPr>
          <w:b/>
          <w:bCs/>
          <w:color w:val="22303C"/>
          <w:sz w:val="20"/>
          <w:szCs w:val="20"/>
        </w:rPr>
        <w:t xml:space="preserve">53.  </w:t>
      </w:r>
      <w:r>
        <w:rPr>
          <w:color w:val="22303C"/>
          <w:sz w:val="20"/>
          <w:szCs w:val="20"/>
        </w:rPr>
        <w:t xml:space="preserve">Teton County/Jackson, Wyoming comprehensive plan: published parcel-level buildout (9,815 existing units; 5,420–9,880 potential additional), with plan review triggered at each 7% growth increment; workforce-housed-locally target of 65%.</w:t>
      </w:r>
    </w:p>
    <w:p>
      <w:pPr>
        <w:spacing w:after="130" w:line="276" w:lineRule="auto"/>
      </w:pPr>
      <w:r>
        <w:rPr>
          <w:b/>
          <w:bCs/>
          <w:color w:val="22303C"/>
          <w:sz w:val="20"/>
          <w:szCs w:val="20"/>
        </w:rPr>
        <w:t xml:space="preserve">54.  </w:t>
      </w:r>
      <w:r>
        <w:rPr>
          <w:color w:val="22303C"/>
          <w:sz w:val="20"/>
          <w:szCs w:val="20"/>
        </w:rPr>
        <w:t xml:space="preserve">Whistler's 'bed unit' assigns infrastructure load per person-equivalent (single-family home = 6; hotel room = 2), allowing residential and lodging growth to be counted in one ledger.</w:t>
      </w:r>
    </w:p>
    <w:p>
      <w:pPr>
        <w:spacing w:after="130" w:line="276" w:lineRule="auto"/>
      </w:pPr>
      <w:r>
        <w:rPr>
          <w:b/>
          <w:bCs/>
          <w:color w:val="22303C"/>
          <w:sz w:val="20"/>
          <w:szCs w:val="20"/>
        </w:rPr>
        <w:t xml:space="preserve">55.  </w:t>
      </w:r>
      <w:r>
        <w:rPr>
          <w:color w:val="22303C"/>
          <w:sz w:val="20"/>
          <w:szCs w:val="20"/>
        </w:rPr>
        <w:t xml:space="preserve">Example discrepancy: Shandoka Building F is listed at 29 units in the Policies' Appendix E (May 2026) but 12 units in the Town's official 2025 Shandoka rent table. Virginia Placer studios: 6 vs 4 between the same two documents.</w:t>
      </w:r>
    </w:p>
    <w:p>
      <w:pPr>
        <w:spacing w:after="130" w:line="276" w:lineRule="auto"/>
      </w:pPr>
      <w:r>
        <w:rPr>
          <w:b/>
          <w:bCs/>
          <w:color w:val="22303C"/>
          <w:sz w:val="20"/>
          <w:szCs w:val="20"/>
        </w:rPr>
        <w:t xml:space="preserve">56.  </w:t>
      </w:r>
      <w:r>
        <w:rPr>
          <w:color w:val="22303C"/>
          <w:sz w:val="20"/>
          <w:szCs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30" w:line="276" w:lineRule="auto"/>
      </w:pPr>
      <w:r>
        <w:rPr>
          <w:b/>
          <w:bCs/>
          <w:color w:val="22303C"/>
          <w:sz w:val="20"/>
          <w:szCs w:val="20"/>
        </w:rPr>
        <w:t xml:space="preserve">57.  </w:t>
      </w:r>
      <w:r>
        <w:rPr>
          <w:color w:val="22303C"/>
          <w:sz w:val="20"/>
          <w:szCs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30" w:line="276" w:lineRule="auto"/>
      </w:pPr>
      <w:r>
        <w:rPr>
          <w:b/>
          <w:bCs/>
          <w:color w:val="22303C"/>
          <w:sz w:val="20"/>
          <w:szCs w:val="20"/>
        </w:rPr>
        <w:t xml:space="preserve">58.  </w:t>
      </w:r>
      <w:r>
        <w:rPr>
          <w:color w:val="22303C"/>
          <w:sz w:val="20"/>
          <w:szCs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30" w:line="276" w:lineRule="auto"/>
      </w:pPr>
      <w:r>
        <w:rPr>
          <w:b/>
          <w:bCs/>
          <w:color w:val="22303C"/>
          <w:sz w:val="20"/>
          <w:szCs w:val="20"/>
        </w:rPr>
        <w:t xml:space="preserve">59.  </w:t>
      </w:r>
      <w:r>
        <w:rPr>
          <w:color w:val="22303C"/>
          <w:sz w:val="20"/>
          <w:szCs w:val="20"/>
        </w:rPr>
        <w:t xml:space="preserve">SMRHA property listings, retrieved August 1, 2026: five Norwood (Pinion Park) homes listed $262,895–$383,244, on market five months to over a year.</w:t>
      </w:r>
    </w:p>
    <w:p>
      <w:pPr>
        <w:spacing w:after="130" w:line="276" w:lineRule="auto"/>
      </w:pPr>
      <w:r>
        <w:rPr>
          <w:b/>
          <w:bCs/>
          <w:color w:val="22303C"/>
          <w:sz w:val="20"/>
          <w:szCs w:val="20"/>
        </w:rPr>
        <w:t xml:space="preserve">60.  </w:t>
      </w:r>
      <w:r>
        <w:rPr>
          <w:color w:val="22303C"/>
          <w:sz w:val="20"/>
          <w:szCs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30" w:line="276" w:lineRule="auto"/>
      </w:pPr>
      <w:r>
        <w:rPr>
          <w:b/>
          <w:bCs/>
          <w:color w:val="22303C"/>
          <w:sz w:val="20"/>
          <w:szCs w:val="20"/>
        </w:rPr>
        <w:t xml:space="preserve">61.  </w:t>
      </w:r>
      <w:r>
        <w:rPr>
          <w:color w:val="22303C"/>
          <w:sz w:val="20"/>
          <w:szCs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 the basis for selecting a new Ilium Valley site.</w:t>
      </w:r>
    </w:p>
    <w:p>
      <w:pPr>
        <w:spacing w:after="130" w:line="276" w:lineRule="auto"/>
      </w:pPr>
      <w:r>
        <w:rPr>
          <w:b/>
          <w:bCs/>
          <w:color w:val="22303C"/>
          <w:sz w:val="20"/>
          <w:szCs w:val="20"/>
        </w:rPr>
        <w:t xml:space="preserve">62.  </w:t>
      </w:r>
      <w:r>
        <w:rPr>
          <w:color w:val="22303C"/>
          <w:sz w:val="20"/>
          <w:szCs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30" w:line="276" w:lineRule="auto"/>
      </w:pPr>
      <w:r>
        <w:rPr>
          <w:b/>
          <w:bCs/>
          <w:color w:val="22303C"/>
          <w:sz w:val="20"/>
          <w:szCs w:val="20"/>
        </w:rPr>
        <w:t xml:space="preserve">63.  </w:t>
      </w:r>
      <w:r>
        <w:rPr>
          <w:color w:val="22303C"/>
          <w:sz w:val="20"/>
          <w:szCs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30" w:line="276" w:lineRule="auto"/>
      </w:pPr>
      <w:r>
        <w:rPr>
          <w:b/>
          <w:bCs/>
          <w:color w:val="22303C"/>
          <w:sz w:val="20"/>
          <w:szCs w:val="20"/>
        </w:rPr>
        <w:t xml:space="preserve">64.  </w:t>
      </w:r>
      <w:r>
        <w:rPr>
          <w:color w:val="22303C"/>
          <w:sz w:val="20"/>
          <w:szCs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30" w:line="276" w:lineRule="auto"/>
      </w:pPr>
      <w:r>
        <w:rPr>
          <w:b/>
          <w:bCs/>
          <w:color w:val="22303C"/>
          <w:sz w:val="20"/>
          <w:szCs w:val="20"/>
        </w:rPr>
        <w:t xml:space="preserve">65.  </w:t>
      </w:r>
      <w:r>
        <w:rPr>
          <w:color w:val="22303C"/>
          <w:sz w:val="20"/>
          <w:szCs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30" w:line="276" w:lineRule="auto"/>
      </w:pPr>
      <w:r>
        <w:rPr>
          <w:b/>
          <w:bCs/>
          <w:color w:val="22303C"/>
          <w:sz w:val="20"/>
          <w:szCs w:val="20"/>
        </w:rPr>
        <w:t xml:space="preserve">66.  </w:t>
      </w:r>
      <w:r>
        <w:rPr>
          <w:color w:val="22303C"/>
          <w:sz w:val="20"/>
          <w:szCs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30" w:line="276" w:lineRule="auto"/>
      </w:pPr>
      <w:r>
        <w:rPr>
          <w:b/>
          <w:bCs/>
          <w:color w:val="22303C"/>
          <w:sz w:val="20"/>
          <w:szCs w:val="20"/>
        </w:rPr>
        <w:t xml:space="preserve">67.  </w:t>
      </w:r>
      <w:r>
        <w:rPr>
          <w:color w:val="22303C"/>
          <w:sz w:val="20"/>
          <w:szCs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 not the decree.</w:t>
      </w:r>
    </w:p>
    <w:p>
      <w:pPr>
        <w:spacing w:after="130" w:line="276" w:lineRule="auto"/>
      </w:pPr>
      <w:r>
        <w:rPr>
          <w:b/>
          <w:bCs/>
          <w:color w:val="22303C"/>
          <w:sz w:val="20"/>
          <w:szCs w:val="20"/>
        </w:rPr>
        <w:t xml:space="preserve">68.  </w:t>
      </w:r>
      <w:r>
        <w:rPr>
          <w:color w:val="22303C"/>
          <w:sz w:val="20"/>
          <w:szCs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30" w:line="276" w:lineRule="auto"/>
      </w:pPr>
      <w:r>
        <w:rPr>
          <w:b/>
          <w:bCs/>
          <w:color w:val="22303C"/>
          <w:sz w:val="20"/>
          <w:szCs w:val="20"/>
        </w:rPr>
        <w:t xml:space="preserve">69.  </w:t>
      </w:r>
      <w:r>
        <w:rPr>
          <w:color w:val="22303C"/>
          <w:sz w:val="20"/>
          <w:szCs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 obtain from SMART directly. SMART’s April 2026 RFP for a gondola structural condition assessment is the same agency’s parallel workstream on the Region’s other transit asset.</w:t>
      </w:r>
    </w:p>
    <w:p>
      <w:pPr>
        <w:spacing w:after="130" w:line="276" w:lineRule="auto"/>
      </w:pPr>
      <w:r>
        <w:rPr>
          <w:b/>
          <w:bCs/>
          <w:color w:val="22303C"/>
          <w:sz w:val="20"/>
          <w:szCs w:val="20"/>
        </w:rPr>
        <w:t xml:space="preserve">70.  </w:t>
      </w:r>
      <w:r>
        <w:rPr>
          <w:color w:val="22303C"/>
          <w:sz w:val="20"/>
          <w:szCs w:val="20"/>
        </w:rPr>
        <w:t xml:space="preserve">Ballot Issue 3A: referred by SMART Board Resolution 2024-15 (September 5, 2024); approved November 2024 by voters within the district, 1,956 to 1,758. Revenue figures are from the measure’s required TABOR notice — projected 2025 revenue of $8,200,000, an increase of $5,200,000 over revenue expected without the measure — as recited in the district court’s order (note 71). The measure funds gondola operations and maintenance as well as capital improvements. Of the projected $8.2 million, approximately $5.5 million is required annually for operations and maintenance, leaving approximately $2.7 million for capital; the precise split should be confirmed against SMART's adopted budget, and the capital share will vary year to year with operating cost. [E] Accumulation arithmetic: $120–150 million ÷ $2.7 million per year = 44–56 years; annual capital coverage $2.7M ÷ $120–150M = 1.8–2.3%.</w:t>
      </w:r>
    </w:p>
    <w:p>
      <w:pPr>
        <w:spacing w:after="130" w:line="276" w:lineRule="auto"/>
      </w:pPr>
      <w:r>
        <w:rPr>
          <w:b/>
          <w:bCs/>
          <w:color w:val="22303C"/>
          <w:sz w:val="20"/>
          <w:szCs w:val="20"/>
        </w:rPr>
        <w:t xml:space="preserve">71.  </w:t>
      </w:r>
      <w:r>
        <w:rPr>
          <w:color w:val="22303C"/>
          <w:sz w:val="20"/>
          <w:szCs w:val="20"/>
        </w:rPr>
        <w:t xml:space="preserve">Masson v. Board of County Commissioners of San Miguel County et al., San Miguel County District Court Case No. 24CV8, Order Following Trial on Election Contest (August 4, 2025) (contest dismissed; ballot language and TABOR notice held not clearly misleading). On appeal as Masson v. San Miguel Authority for Regional Transportation, Town of Mountain Village, and Town of Telluride, Colorado Court of Appeals Case No. 2026CA391; opening, answer, and reply briefs filed April–July 2026; decision pending as of this report.</w:t>
      </w:r>
    </w:p>
    <w:p>
      <w:pPr>
        <w:spacing w:after="130" w:line="276" w:lineRule="auto"/>
      </w:pPr>
      <w:r>
        <w:rPr>
          <w:b/>
          <w:bCs/>
          <w:color w:val="22303C"/>
          <w:sz w:val="20"/>
          <w:szCs w:val="20"/>
        </w:rPr>
        <w:t xml:space="preserve">72.  </w:t>
      </w:r>
      <w:r>
        <w:rPr>
          <w:color w:val="22303C"/>
          <w:sz w:val="20"/>
          <w:szCs w:val="20"/>
        </w:rPr>
        <w:t xml:space="preserve">Third Supplement and Amendment to the Intergovernmental Agreement for Cost-Sharing of the Planning and Gondola Project Development Phase of the Gondola Project, effective January 1, 2026 (executed May 19, 2026): 2026 development budget of $2,461,032 — SMART 50% ($1,230,516), Town of Telluride 25% ($615,258), Mountain Village entity 25% ($615,258, split equally between the Town of Mountain Village and TMVOA) — including $1.8 million for project-development services; signatories also include San Miguel County and TSG Ski &amp; Golf, LLC; six-station configuration from Oak Street (Station 1) to the Mountain Village Center (Station 6); underlying IGA dated November 14, 2023.</w:t>
      </w:r>
    </w:p>
    <w:p>
      <w:pPr>
        <w:spacing w:after="130" w:line="276" w:lineRule="auto"/>
      </w:pPr>
      <w:r>
        <w:rPr>
          <w:b/>
          <w:bCs/>
          <w:color w:val="22303C"/>
          <w:sz w:val="20"/>
          <w:szCs w:val="20"/>
        </w:rPr>
        <w:t xml:space="preserve">73.  </w:t>
      </w:r>
      <w:r>
        <w:rPr>
          <w:color w:val="22303C"/>
          <w:sz w:val="20"/>
          <w:szCs w:val="20"/>
        </w:rPr>
        <w:t xml:space="preserve">[E] Conversion factors: hotel staffing of 1.5–2.5 employees per key (note 66 method); multiple-job-holding of ~1.2 jobs per worker and 1.4–1.8 workers per household are standard mountain-resort housing-needs conventions and should be cross-checked against the County's 2025 Housing Needs Assessment methodology when quoted. All factors are presented as ranges; the conclusions do not depend on any single point choice.</w:t>
      </w:r>
    </w:p>
    <w:p>
      <w:pPr>
        <w:spacing w:after="130" w:line="276" w:lineRule="auto"/>
      </w:pPr>
      <w:r>
        <w:rPr>
          <w:b/>
          <w:bCs/>
          <w:color w:val="22303C"/>
          <w:sz w:val="20"/>
          <w:szCs w:val="20"/>
        </w:rPr>
        <w:t xml:space="preserve">74.  </w:t>
      </w:r>
      <w:r>
        <w:rPr>
          <w:color w:val="22303C"/>
          <w:sz w:val="20"/>
          <w:szCs w:val="20"/>
        </w:rPr>
        <w:t xml:space="preserve">[E] Arithmetic: 200 jobs ÷ 1.2 = 167 workers, less up to 40 housed on-site, ÷ 1.8 workers/household ≈ 70 households; 400 ÷ 1.2 = 333, less 25, ÷ 1.4 ≈ 220 households; central ≈ 140. Public capital per unit at the 60–100% AMI tier from the Section 5 subsidy model: $145,000–$352,000 (Sunnyside-class, $516,103 development cost per unit on free public land) to $678,000–$1,090,000 (VooDoo-class, $1,255,635 per unit). Central bill: ~140 units × $400,000–$700,000 ≈ $55–100 million. An interactive version of this model, with every factor editable, is published as the Livable Telluride Project Housing &amp; Infrastructure Bill calculator.</w:t>
      </w:r>
    </w:p>
    <w:p>
      <w:pPr>
        <w:spacing w:after="130" w:line="276" w:lineRule="auto"/>
      </w:pPr>
      <w:r>
        <w:rPr>
          <w:b/>
          <w:bCs/>
          <w:color w:val="22303C"/>
          <w:sz w:val="20"/>
          <w:szCs w:val="20"/>
        </w:rPr>
        <w:t xml:space="preserve">75.  </w:t>
      </w:r>
      <w:r>
        <w:rPr>
          <w:color w:val="22303C"/>
          <w:sz w:val="20"/>
          <w:szCs w:val="20"/>
        </w:rPr>
        <w:t xml:space="preserve">[E] Per-key: central bill ÷ ~124 keys (≈43 Four Seasons + ≈81 Six Senses lodge units) ≈ $450,000–$800,000 per key; at ~2.2 pillows per key, ≈ $200,000–$360,000 per pillow. Wastewater: ~275 guest pillows plus high-strength food-and-beverage, spa, and laundry loads ≈ 400–600 person-equivalents, plus ~250 workers residing in the service area; at 70–100 gallons/person/day ≈ 0.05–0.08 MGD, i.e., 5–8% of the ~1.0–1.1 MGD generational headroom of note 62. Traffic: resort generation of ~5 trips/key/day plus ~200+ commuting workers ≈ 600+ daily trips; comparator from note 39 (a 240-unit project advances Society Turn roundabout failure to ~2027). Each hotel's traffic study was conducted individually; no cumulative analysis exists.</w:t>
      </w:r>
    </w:p>
    <w:p>
      <w:pPr>
        <w:spacing w:after="130" w:line="276" w:lineRule="auto"/>
      </w:pPr>
      <w:r>
        <w:rPr>
          <w:b/>
          <w:bCs/>
          <w:color w:val="22303C"/>
          <w:sz w:val="20"/>
          <w:szCs w:val="20"/>
        </w:rPr>
        <w:t xml:space="preserve">76.  </w:t>
      </w:r>
      <w:r>
        <w:rPr>
          <w:color w:val="22303C"/>
          <w:sz w:val="20"/>
          <w:szCs w:val="20"/>
        </w:rPr>
        <w:t xml:space="preserve">Home-service employment: "Who Works for a House?" (Livable Telluride, August 2026). Independent refit of the 2000 Residential Job Generation Study size bins (elasticity 1.57) against the 2013 Teton County regression (1.59): paid property-service employment ranges from ~0.01 FTE for a local studio to ~0.5–2.0 FTE for a 15,000 sq ft second home used one month per year; local-worker households occupy the bottom of the curve. The same report documents that the construction workforce resides predominantly outside the county (2000 survey: 51% of general-contractor and 80% of subcontractor employees) and treats construction as a regional labor flow rather than local housing demand.</w:t>
      </w:r>
    </w:p>
    <w:p>
      <w:pPr>
        <w:spacing w:after="130" w:line="276" w:lineRule="auto"/>
      </w:pPr>
      <w:r>
        <w:rPr>
          <w:b/>
          <w:bCs/>
          <w:color w:val="22303C"/>
          <w:sz w:val="20"/>
          <w:szCs w:val="20"/>
        </w:rPr>
        <w:t xml:space="preserve">77.  </w:t>
      </w:r>
      <w:r>
        <w:rPr>
          <w:color w:val="22303C"/>
          <w:sz w:val="20"/>
          <w:szCs w:val="20"/>
        </w:rPr>
        <w:t xml:space="preserve">[E] Return stack per repatriated or stabilized worker: Montrose round trip ~130 miles × ~220 working days × $0.65–0.70/mile ≈ $18,000–20,000/year vehicle cost; ~2.5 hours/day travel time at modest valuation ≈ $14,000/year; employer turnover avoidance (industry convention 30–50% of salary per avoided replacement, amortized); public increments (peak-hour trips removed from the Society Turn/Last Dollar pair, road maintenance, transit-subsidy offset, school enrollment). Stated conservatively as $25,000–40,000 per worker per year and used solely to rank instruments whose cost ratios differ by an order of magnitude.</w:t>
      </w:r>
    </w:p>
    <w:p>
      <w:pPr>
        <w:spacing w:after="130" w:line="276" w:lineRule="auto"/>
      </w:pPr>
      <w:r>
        <w:rPr>
          <w:b/>
          <w:bCs/>
          <w:color w:val="22303C"/>
          <w:sz w:val="20"/>
          <w:szCs w:val="20"/>
        </w:rPr>
        <w:t xml:space="preserve">78.  </w:t>
      </w:r>
      <w:r>
        <w:rPr>
          <w:color w:val="22303C"/>
          <w:sz w:val="20"/>
          <w:szCs w:val="20"/>
        </w:rPr>
        <w:t xml:space="preserve">[E] Frontier arithmetic: per-bed figures convert the note-25, -27, -34, and -57 per-unit costs at observed bedrooms per unit; capital annualized over 30 years; return-to-cost ratios apply the note-77 range to annualized all-in cost. Repricing "cost" is the forgone rent premium on units currently generating no rent. Master-lease costs are bracketed from operating peer programs of the Lease-to-Locals class ($5,000–15,000 per bed per year, reversible).</w:t>
      </w:r>
    </w:p>
    <w:p>
      <w:pPr>
        <w:spacing w:after="130" w:line="276" w:lineRule="auto"/>
      </w:pPr>
      <w:r>
        <w:rPr>
          <w:b/>
          <w:bCs/>
          <w:color w:val="22303C"/>
          <w:sz w:val="20"/>
          <w:szCs w:val="20"/>
        </w:rPr>
        <w:t xml:space="preserve">79.  </w:t>
      </w:r>
      <w:r>
        <w:rPr>
          <w:color w:val="22303C"/>
          <w:sz w:val="20"/>
          <w:szCs w:val="20"/>
        </w:rPr>
        <w:t xml:space="preserve">[E] Program sizing: 182 HNA existing-resident units (note 47) + an elected repatriation tranche of roughly 100–200 beds (to be measured by Recommendation R7) − approximately 70 beds recoverable by repricing the vacant town stock (note 21) → approximately 250–400 beds.</w:t>
      </w:r>
    </w:p>
    <w:p>
      <w:pPr>
        <w:spacing w:after="130" w:line="276" w:lineRule="auto"/>
      </w:pPr>
      <w:r>
        <w:rPr>
          <w:b/>
          <w:bCs/>
          <w:color w:val="22303C"/>
          <w:sz w:val="20"/>
          <w:szCs w:val="20"/>
        </w:rPr>
        <w:t xml:space="preserve">80.  </w:t>
      </w:r>
      <w:r>
        <w:rPr>
          <w:color w:val="22303C"/>
          <w:sz w:val="20"/>
          <w:szCs w:val="20"/>
        </w:rPr>
        <w:t xml:space="preserve">[E] Retrospective scores apply the ten rules as written to the documented record of each project (notes 16–19, 24–28, 56–59). Reasonable evaluators may move any single project one point in either direction without changing the ordering.</w:t>
      </w:r>
    </w:p>
    <w:p>
      <w:pPr>
        <w:spacing w:after="130" w:line="276" w:lineRule="auto"/>
      </w:pPr>
      <w:r>
        <w:rPr>
          <w:b/>
          <w:bCs/>
          <w:color w:val="22303C"/>
          <w:sz w:val="20"/>
          <w:szCs w:val="20"/>
        </w:rPr>
        <w:t xml:space="preserve">81.  </w:t>
      </w:r>
      <w:r>
        <w:rPr>
          <w:color w:val="22303C"/>
          <w:sz w:val="20"/>
          <w:szCs w:val="20"/>
        </w:rPr>
        <w:t xml:space="preserve">[E] Program cost: restrictions 40–60 × $65,000–70,000 ≈ $2.8–4.2M; constructed residual 150–250 bedrooms × $45,000–61,000 ≈ $7–15M; master-lease flow budgeted annually; repricing capital-free. Total approximately $15–25M excluding land already publicly held. Comparators: Voodoo ≈$26M all-in for 27 units (note 25); gondola replacement $120–150M (note 40); wastewater program nine figures (note 36).</w:t>
      </w:r>
    </w:p>
    <w:p>
      <w:pPr>
        <w:spacing w:after="130" w:line="276" w:lineRule="auto"/>
      </w:pPr>
      <w:r>
        <w:rPr>
          <w:b/>
          <w:bCs/>
          <w:color w:val="22303C"/>
          <w:sz w:val="20"/>
          <w:szCs w:val="20"/>
        </w:rPr>
        <w:t xml:space="preserve">82.  </w:t>
      </w:r>
      <w:r>
        <w:rPr>
          <w:color w:val="22303C"/>
          <w:sz w:val="20"/>
          <w:szCs w:val="20"/>
        </w:rPr>
        <w:t xml:space="preserve">[E] Influx response costing: master-lease absorption ≈140 households × $5,000–15,000/bed-year (note 78 basis) = $0.7–2.1M/year, assigned to operators; residual public exposure = targeted restriction purchases in down-valley communities plus a transit capital share plus administration ≈ $5–15M, versus the $55–100M central public-construction alternative of note 74. Operator staff-housing practice at comparable five-star properties, and each project's actual mitigation obligations under Mountain Village's code, should be confirmed from the mitigation filings when public (Section 17). Leverage points are the projects' remaining discretionary approvals; the enforceable form is a pre-opening development agreement.</w:t>
      </w:r>
    </w:p>
    <w:p>
      <w:pPr>
        <w:spacing w:after="130" w:line="276" w:lineRule="auto"/>
      </w:pPr>
      <w:r>
        <w:rPr>
          <w:b/>
          <w:bCs/>
          <w:color w:val="22303C"/>
          <w:sz w:val="20"/>
          <w:szCs w:val="20"/>
        </w:rPr>
        <w:t xml:space="preserve">83.  </w:t>
      </w:r>
      <w:r>
        <w:rPr>
          <w:color w:val="22303C"/>
          <w:sz w:val="20"/>
          <w:szCs w:val="20"/>
        </w:rPr>
        <w:t xml:space="preserve">U.S. Bureau of Labor Statistics, QCEW, San Miguel County, 2024 annual averages: local government 809 average jobs at $64,178 average annual pay, of which public education 247 jobs at $53,953; total county employment 6,077 (local government share 13.3%). Private-sector comparators at note 7.</w:t>
      </w:r>
    </w:p>
    <w:p>
      <w:pPr>
        <w:spacing w:after="130" w:line="276" w:lineRule="auto"/>
      </w:pPr>
      <w:r>
        <w:rPr>
          <w:b/>
          <w:bCs/>
          <w:color w:val="22303C"/>
          <w:sz w:val="20"/>
          <w:szCs w:val="20"/>
        </w:rPr>
        <w:t xml:space="preserve">84.  </w:t>
      </w:r>
      <w:r>
        <w:rPr>
          <w:color w:val="22303C"/>
          <w:sz w:val="20"/>
          <w:szCs w:val="20"/>
        </w:rPr>
        <w:t xml:space="preserve">[E] Rental benefit method: restricted rent from the Town tier formula (note 4) for a lower tier at approximately $1,050–$1,200 per month, against an estimated market one-bedroom of approximately $2,400 per month. The market comparator is the load-bearing assumption: ACS 2020–2024 places the Telluride all-unit median gross rent at $3,056 and the 2024 regional survey places the market median at $1,848 (notes 9, 10); a properly constructed analysis would use current comparable listings by unit type. Gross-up applies a combined federal and Colorado marginal rate of approximately 26%. Benefit stated as $14,000–$17,000 untaxed, $19,000–$23,000 pre-tax equivalent, 35–43% of a $53,953 salary.</w:t>
      </w:r>
    </w:p>
    <w:p>
      <w:pPr>
        <w:spacing w:after="130" w:line="276" w:lineRule="auto"/>
      </w:pPr>
      <w:r>
        <w:rPr>
          <w:b/>
          <w:bCs/>
          <w:color w:val="22303C"/>
          <w:sz w:val="20"/>
          <w:szCs w:val="20"/>
        </w:rPr>
        <w:t xml:space="preserve">85.  </w:t>
      </w:r>
      <w:r>
        <w:rPr>
          <w:color w:val="22303C"/>
          <w:sz w:val="20"/>
          <w:szCs w:val="20"/>
        </w:rPr>
        <w:t xml:space="preserve">[E] Ownership benefit method: Meadowlark resale listing at $833,586 with $610 monthly association dues (note 56); mortgage at 5% over 30 years with 5% down produces approximately $4,251 monthly principal and interest, plus dues, taxes, and insurance, totaling approximately $5,300 — approximately the market rent for an equivalent three-bedroom, so the monthly benefit is small. Equity channel: 4% capped appreciation on $833,586 = $33,343 per year, plus first-year principal reduction of approximately $11,600. Public cost of approximately $137,000 per unit (note 57) annualized over 30 years ≈ $8,000 per year. The comparison of household benefit to annualized public cost across instruments (approximately 5:1 at Meadowlark against approximately 0.3:1 at Voodoo) applies the same method to note 25.</w:t>
      </w:r>
    </w:p>
    <w:p>
      <w:pPr>
        <w:spacing w:after="130" w:line="276" w:lineRule="auto"/>
      </w:pPr>
      <w:r>
        <w:rPr>
          <w:b/>
          <w:bCs/>
          <w:color w:val="22303C"/>
          <w:sz w:val="20"/>
          <w:szCs w:val="20"/>
        </w:rPr>
        <w:t xml:space="preserve">86.  </w:t>
      </w:r>
      <w:r>
        <w:rPr>
          <w:color w:val="22303C"/>
          <w:sz w:val="20"/>
          <w:szCs w:val="20"/>
        </w:rPr>
        <w:t xml:space="preserve">Town of Telluride budget books (local copies, assets/Budgets Telluride/): total expenditures all funds $36,379,949 (2015, p. 20) and $99,901,839 (2025, p. 49); General Fund personnel cost $5,490,405 (2015, p. 110) and $11,581,800 (2025, p. 58); all-funds labor cost $15,182,556 (2025, p. 51). Authorized FTE 70.63 (2015, p. 69, year-round FTE table) and 80.86 (2020, p. 63). The 2025 book presents staffing only as an unlabeled stacked chart (p. 40) with no town-wide total; labeled segments sum to 99.61 and the chart is incomplete, so the actual total is higher. Housing department FTE: Shandoka 5.00 (2015) and 8.48 (2025). The 2015 narrative states 65 FTE (p. 65), conflicting with its own table — an internal inconsistency noted in Section 18.</w:t>
      </w:r>
    </w:p>
    <w:p>
      <w:pPr>
        <w:spacing w:after="130" w:line="276" w:lineRule="auto"/>
      </w:pPr>
      <w:r>
        <w:rPr>
          <w:b/>
          <w:bCs/>
          <w:color w:val="22303C"/>
          <w:sz w:val="20"/>
          <w:szCs w:val="20"/>
        </w:rPr>
        <w:t xml:space="preserve">87.  </w:t>
      </w:r>
      <w:r>
        <w:rPr>
          <w:color w:val="22303C"/>
          <w:sz w:val="20"/>
          <w:szCs w:val="20"/>
        </w:rPr>
        <w:t xml:space="preserve">Town of Telluride 2025 Budget Book: “Continue to work toward the goal of housing 30% + of Town of Telluride employees in dedicated Town employee units” (p. 35, Town Council Goals &amp; Objectives, and repeated at p. 132, Upcoming Year Focuses); “The Town also strives to be the employer of choice in the region” (p. 38). The terms “employee housing” and “staff housing” do not appear in the 2015 or 2020 budget books in reference to housing Town staff; the 2025 occurrences at pp. 15 and 67 are statutory descriptions of fund purposes. No budget document states the number of units occupied by Town employees, the value of the benefit, or the cost of the objective.</w:t>
      </w:r>
    </w:p>
    <w:p>
      <w:pPr>
        <w:spacing w:after="130" w:line="276" w:lineRule="auto"/>
      </w:pPr>
      <w:r>
        <w:rPr>
          <w:b/>
          <w:bCs/>
          <w:color w:val="22303C"/>
          <w:sz w:val="20"/>
          <w:szCs w:val="20"/>
        </w:rPr>
        <w:t xml:space="preserve">88.  </w:t>
      </w:r>
      <w:r>
        <w:rPr>
          <w:color w:val="22303C"/>
          <w:sz w:val="20"/>
          <w:szCs w:val="20"/>
        </w:rPr>
        <w:t xml:space="preserve">Portfolio coverage and subsidy: Livable Telluride analysis of Town and Telluride Housing Authority bond records and budgets — net operating income across the analyzed projects covers approximately 70% of annual debt service, requiring approximately $1.1 million per year of subsidy; bonded housing debt approximately $81.7 million across five projects, none submitted to voters, with approximately $36 million of balloon maturities between 2032 and 2040. See notes 25, 27, and 31, and the Livable Telluride budget and debt analysis.</w:t>
      </w:r>
    </w:p>
    <w:p>
      <w:pPr>
        <w:spacing w:after="130" w:line="276" w:lineRule="auto"/>
      </w:pPr>
      <w:r>
        <w:rPr>
          <w:b/>
          <w:bCs/>
          <w:color w:val="22303C"/>
          <w:sz w:val="20"/>
          <w:szCs w:val="20"/>
        </w:rPr>
        <w:t xml:space="preserve">89.  </w:t>
      </w:r>
      <w:r>
        <w:rPr>
          <w:color w:val="22303C"/>
          <w:sz w:val="20"/>
          <w:szCs w:val="20"/>
        </w:rPr>
        <w:t xml:space="preserve">[E] Employee-housing objective costing: 30% of a workforce of approximately 100 FTE ≈ 30 employees. Imputed benefit 30 households × $15,000–$20,000 per year (note 84) = $450,000–$600,000, against all-funds labor cost of $15,182,556 (note 86) = 3.0–4.0%. Capital: 30 units × $137,000 (Meadowlark class, note 57) ≈ $4.1 million; 30 units × $955,000 (Voodoo class, note 25) ≈ $28.7 million. The estimates assume the Town's share of restricted units tracks its share of the objective; the actual count of Town employees currently housed in Town units is not published.</w:t>
      </w:r>
    </w:p>
    <w:p>
      <w:pPr>
        <w:spacing w:after="130" w:line="276" w:lineRule="auto"/>
      </w:pPr>
      <w:r>
        <w:rPr>
          <w:b/>
          <w:bCs/>
          <w:color w:val="22303C"/>
          <w:sz w:val="20"/>
          <w:szCs w:val="20"/>
        </w:rPr>
        <w:t xml:space="preserve">90.  </w:t>
      </w:r>
      <w:r>
        <w:rPr>
          <w:color w:val="22303C"/>
          <w:sz w:val="20"/>
          <w:szCs w:val="20"/>
        </w:rPr>
        <w:t xml:space="preserve">Carhenge Lot Redevelopment (Lots 34 and 34B), Town of Telluride: Town-owned former surface parking lot at the base of Lift 7. Advanced by the Town with Design Workshop through Planning and Zoning work session (March 26, 2026) and Historic and Architectural Review Commission work sessions (May 5 and May 20, 2026), with PUD, subdivision, and Large Scale Activity applications to follow. Program as presented: approximately 225 housing units, approximately 9,900 sq ft of commercial space, approximately 370 underground parking stalls, approximately 252,400 sq ft total floor area. [E] Cost: no Town estimate has been published; the figure used is the Livable Telluride cost-tracker model — approximately 150,100 sq ft residential plus 9,900 sq ft commercial at $1,000/sq ft = $160M construction, $10M land value, and $44.4M underground parking (370 stalls at approximately $120,000 per stall, adjusted for groundwater conditions — an unverified judgment) = approximately $214.4M, or $952,889 per unit. Unit sizes modeled at approximately 725 net sq ft average, per the Town of Telluride Affordable Housing Guidelines Table 5 unit-size standards. Sources: engagetelluride.org project page and application documents; local copies at assets/Carhenge/.</w:t>
      </w:r>
    </w:p>
    <w:p>
      <w:pPr>
        <w:spacing w:after="170" w:line="296" w:lineRule="auto"/>
      </w:pPr>
      <w:r>
        <w:rPr>
          <w:i/>
          <w:iCs/>
          <w:color w:val="51606D"/>
          <w:sz w:val="20"/>
          <w:szCs w:val="20"/>
        </w:rPr>
        <w:t xml:space="preserve">— Draft for discussion. Livable Telluride welcomes corrections; the report improves when readers find its errors.</w:t>
      </w:r>
    </w:p>
    <w:sectPr>
      <w:pgSz w:w="12240" w:h="15840" w:orient="portrait"/>
      <w:pgMar w:top="1150" w:right="1350" w:bottom="11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99aedf9d39d61ce0a1bbdf962b27253b22816d.png"/><Relationship Id="rId8" Type="http://schemas.openxmlformats.org/officeDocument/2006/relationships/image" Target="media/54a8acad61e75d04c890ada4cd19c108d9a7b0de.png"/><Relationship Id="rId9" Type="http://schemas.openxmlformats.org/officeDocument/2006/relationships/image" Target="media/411c0561d9ded784e414c294fbb5878e0aec2ce1.png"/><Relationship Id="rId10" Type="http://schemas.openxmlformats.org/officeDocument/2006/relationships/image" Target="media/f609d217e3cfd1a9b238f64f4aafe785486ea7e4.png"/><Relationship Id="rId11" Type="http://schemas.openxmlformats.org/officeDocument/2006/relationships/image" Target="media/3e7e5b8ac062cd4ab55f7008393003148a15a17e.png"/><Relationship Id="rId12" Type="http://schemas.openxmlformats.org/officeDocument/2006/relationships/image" Target="media/db1818d29e8cbaf87afbc6b4bbd703fb719f9e2a.png"/><Relationship Id="rId13" Type="http://schemas.openxmlformats.org/officeDocument/2006/relationships/image" Target="media/5bde24e5300fdaf6e84c1fa7308c6a24668706a5.png"/><Relationship Id="rId14" Type="http://schemas.openxmlformats.org/officeDocument/2006/relationships/image" Target="media/d62f03f5dedb3af16298312dc7469b239283818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2026-08-02T00:18:54.093Z</dcterms:created>
  <dcterms:modified xsi:type="dcterms:W3CDTF">2026-08-02T00:18:54.096Z</dcterms:modified>
</cp:coreProperties>
</file>

<file path=docProps/custom.xml><?xml version="1.0" encoding="utf-8"?>
<Properties xmlns="http://schemas.openxmlformats.org/officeDocument/2006/custom-properties" xmlns:vt="http://schemas.openxmlformats.org/officeDocument/2006/docPropsVTypes"/>
</file>