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04CB78" w14:textId="77777777" w:rsidR="00F07096" w:rsidRDefault="00000000">
      <w:pPr>
        <w:spacing w:after="110"/>
      </w:pPr>
      <w:r>
        <w:rPr>
          <w:b/>
          <w:bCs/>
          <w:color w:val="1D5C63"/>
          <w:sz w:val="44"/>
          <w:szCs w:val="44"/>
        </w:rPr>
        <w:t>The Number Everyone Quotes</w:t>
      </w:r>
    </w:p>
    <w:p w14:paraId="06FE85C0" w14:textId="77777777" w:rsidR="00F07096" w:rsidRDefault="00000000">
      <w:pPr>
        <w:spacing w:after="110" w:line="320" w:lineRule="auto"/>
      </w:pPr>
      <w:r>
        <w:rPr>
          <w:sz w:val="26"/>
          <w:szCs w:val="26"/>
        </w:rPr>
        <w:t>San Miguel County says we need 1,114 homes. Only 182 of them are for people who already live here.</w:t>
      </w:r>
    </w:p>
    <w:p w14:paraId="6D5DD157" w14:textId="77777777" w:rsidR="00F07096" w:rsidRDefault="00000000">
      <w:pPr>
        <w:spacing w:after="300" w:line="320" w:lineRule="auto"/>
      </w:pPr>
      <w:r>
        <w:rPr>
          <w:color w:val="51606D"/>
          <w:sz w:val="20"/>
          <w:szCs w:val="20"/>
        </w:rPr>
        <w:t xml:space="preserve">By Morgan </w:t>
      </w:r>
      <w:proofErr w:type="gramStart"/>
      <w:r>
        <w:rPr>
          <w:color w:val="51606D"/>
          <w:sz w:val="20"/>
          <w:szCs w:val="20"/>
        </w:rPr>
        <w:t>Smith  ·</w:t>
      </w:r>
      <w:proofErr w:type="gramEnd"/>
      <w:r>
        <w:rPr>
          <w:color w:val="51606D"/>
          <w:sz w:val="20"/>
          <w:szCs w:val="20"/>
        </w:rPr>
        <w:t xml:space="preserve">  Livable Telluride</w:t>
      </w:r>
    </w:p>
    <w:p w14:paraId="079FC51E" w14:textId="77777777" w:rsidR="00FF5F21" w:rsidRDefault="00FF5F21" w:rsidP="00FF5F21">
      <w:pPr>
        <w:pStyle w:val="p1"/>
      </w:pPr>
      <w:r w:rsidRPr="008F5417">
        <w:t>At the risk of taking on wildly more than I can chew, I wanted to address the San Miguel County Housing Study completed last year. I hope this comes across like Nobel Prize-winning economist Paul Krugman, explaining complex issues in easy-to-understand ways. But if I’m being honest, it may be closer to a lawyer who can’t resist adding one more footnote.</w:t>
      </w:r>
    </w:p>
    <w:p w14:paraId="1759CB78" w14:textId="77777777" w:rsidR="00FF5F21" w:rsidRDefault="00FF5F21" w:rsidP="00FF5F21">
      <w:pPr>
        <w:spacing w:after="200" w:line="320" w:lineRule="auto"/>
      </w:pPr>
      <w:r>
        <w:t xml:space="preserve">If you have been to any government meeting in the last year, you have very likely already heard “the number,” and that number is </w:t>
      </w:r>
      <w:r w:rsidRPr="008F5417">
        <w:rPr>
          <w:b/>
          <w:bCs/>
        </w:rPr>
        <w:t>1,114</w:t>
      </w:r>
      <w:r>
        <w:t xml:space="preserve">. So, like a game show of Jeopardy, if you recognize that number, you can win the round by asking the proper question: </w:t>
      </w:r>
    </w:p>
    <w:p w14:paraId="6ADF7D94" w14:textId="77777777" w:rsidR="00FF5F21" w:rsidRDefault="00FF5F21" w:rsidP="00FF5F21">
      <w:pPr>
        <w:spacing w:after="200" w:line="320" w:lineRule="auto"/>
        <w:ind w:left="720"/>
      </w:pPr>
      <w:r>
        <w:t xml:space="preserve">“What is the total number of new housing units the San Miguel Housing Study concludes are needed within the next few years in the East End?” </w:t>
      </w:r>
    </w:p>
    <w:p w14:paraId="1AE17F71" w14:textId="77777777" w:rsidR="00FF5F21" w:rsidRDefault="00FF5F21" w:rsidP="00FF5F21">
      <w:pPr>
        <w:spacing w:after="200" w:line="320" w:lineRule="auto"/>
      </w:pPr>
      <w:r>
        <w:t xml:space="preserve">And yes, we have a winner. “The number” turns up in staff reports, in grant applications, in newspaper stories, and in just about every argument for building something related to affordable housing. </w:t>
      </w:r>
    </w:p>
    <w:p w14:paraId="57E2E273" w14:textId="77777777" w:rsidR="00FF5F21" w:rsidRDefault="00FF5F21" w:rsidP="00FF5F21">
      <w:pPr>
        <w:spacing w:after="200" w:line="320" w:lineRule="auto"/>
      </w:pPr>
      <w:r>
        <w:t xml:space="preserve">But how accurate is “the number?”  There is no question there is a demand for affordable housing for many people in the community, but what is the quantifiable demand needed right now, as opposed to potentially needed in the future? </w:t>
      </w:r>
    </w:p>
    <w:p w14:paraId="36162BCC" w14:textId="77777777" w:rsidR="00FF5F21" w:rsidRDefault="00FF5F21" w:rsidP="00FF5F21">
      <w:pPr>
        <w:spacing w:after="200" w:line="320" w:lineRule="auto"/>
      </w:pPr>
      <w:r>
        <w:t xml:space="preserve">I want to be fair to the Housing Study before I say anything else about it. Studies like this are genuinely hard. The consultants were asked to estimate something nobody can directly count, using whatever data a small rural county happens to have, which is not much. They did the job they were hired to do. </w:t>
      </w:r>
    </w:p>
    <w:p w14:paraId="0B9AF8AB" w14:textId="77777777" w:rsidR="00FF5F21" w:rsidRDefault="00FF5F21" w:rsidP="00FF5F21">
      <w:pPr>
        <w:spacing w:after="200" w:line="320" w:lineRule="auto"/>
      </w:pPr>
      <w:r>
        <w:t xml:space="preserve">The trouble is that the number does not mean what most people think it means. </w:t>
      </w:r>
    </w:p>
    <w:p w14:paraId="39D0755A" w14:textId="77777777" w:rsidR="00F07096" w:rsidRDefault="00000000">
      <w:pPr>
        <w:spacing w:before="340" w:after="150"/>
      </w:pPr>
      <w:r>
        <w:rPr>
          <w:b/>
          <w:bCs/>
          <w:color w:val="1D5C63"/>
          <w:sz w:val="27"/>
          <w:szCs w:val="27"/>
        </w:rPr>
        <w:t>How much weight can one number hold?</w:t>
      </w:r>
    </w:p>
    <w:p w14:paraId="0D32C242" w14:textId="77777777" w:rsidR="00F07096" w:rsidRDefault="00000000">
      <w:pPr>
        <w:spacing w:after="200" w:line="320" w:lineRule="auto"/>
      </w:pPr>
      <w:r>
        <w:t>Here is what gives me pause, and none of it requires being a statistician.</w:t>
      </w:r>
    </w:p>
    <w:p w14:paraId="6F53192B" w14:textId="74639216" w:rsidR="00F07096" w:rsidRDefault="00000000">
      <w:pPr>
        <w:spacing w:after="200" w:line="320" w:lineRule="auto"/>
      </w:pPr>
      <w:r w:rsidRPr="00FF5F21">
        <w:t>Only a small part of it was counted</w:t>
      </w:r>
      <w:r w:rsidR="00FF5F21">
        <w:t>,</w:t>
      </w:r>
      <w:r w:rsidR="00FF5F21" w:rsidRPr="00FF5F21">
        <w:t xml:space="preserve"> and t</w:t>
      </w:r>
      <w:r w:rsidRPr="00FF5F21">
        <w:t xml:space="preserve">he rest was modeled. </w:t>
      </w:r>
      <w:r w:rsidR="00FF5F21">
        <w:t xml:space="preserve">Any modeling is only as good as the information available. </w:t>
      </w:r>
      <w:r>
        <w:t>This is the big</w:t>
      </w:r>
      <w:r w:rsidR="00FF5F21">
        <w:t xml:space="preserve"> difference. </w:t>
      </w:r>
      <w:r>
        <w:t xml:space="preserve">Of the 1,114 units, the study arrives at </w:t>
      </w:r>
      <w:r w:rsidRPr="00FF5F21">
        <w:rPr>
          <w:b/>
          <w:bCs/>
        </w:rPr>
        <w:t>182</w:t>
      </w:r>
      <w:r>
        <w:t xml:space="preserve"> by counting real things: 110 units of overcrowding measured from Census </w:t>
      </w:r>
      <w:r>
        <w:lastRenderedPageBreak/>
        <w:t xml:space="preserve">data and </w:t>
      </w:r>
      <w:r w:rsidRPr="00FF5F21">
        <w:rPr>
          <w:b/>
          <w:bCs/>
        </w:rPr>
        <w:t>72</w:t>
      </w:r>
      <w:r>
        <w:t xml:space="preserve"> households the survey found living in temporary situations. Those are observations of people who exist.</w:t>
      </w:r>
    </w:p>
    <w:p w14:paraId="1BAD32AC" w14:textId="7B611312" w:rsidR="00FF5F21" w:rsidRDefault="00000000">
      <w:pPr>
        <w:spacing w:after="200" w:line="320" w:lineRule="auto"/>
      </w:pPr>
      <w:r>
        <w:t xml:space="preserve">The other </w:t>
      </w:r>
      <w:r w:rsidRPr="00FF5F21">
        <w:rPr>
          <w:b/>
          <w:bCs/>
        </w:rPr>
        <w:t>932</w:t>
      </w:r>
      <w:r>
        <w:t xml:space="preserve"> are built out of assumptions. To estimate housing for </w:t>
      </w:r>
      <w:r w:rsidR="00FF5F21">
        <w:t xml:space="preserve">people who </w:t>
      </w:r>
      <w:r>
        <w:t>commut</w:t>
      </w:r>
      <w:r w:rsidR="00FF5F21">
        <w:t>e</w:t>
      </w:r>
      <w:r>
        <w:t xml:space="preserve">, the study assumes </w:t>
      </w:r>
      <w:r w:rsidRPr="00FF5F21">
        <w:rPr>
          <w:b/>
          <w:bCs/>
        </w:rPr>
        <w:t>25 percent</w:t>
      </w:r>
      <w:r>
        <w:t xml:space="preserve"> of workers commute in</w:t>
      </w:r>
      <w:r w:rsidR="00FF5F21">
        <w:t xml:space="preserve"> based on survey responses</w:t>
      </w:r>
      <w:r>
        <w:t xml:space="preserve">. </w:t>
      </w:r>
      <w:r w:rsidR="00FF5F21">
        <w:t xml:space="preserve">So far so good. </w:t>
      </w:r>
    </w:p>
    <w:p w14:paraId="209AC56B" w14:textId="6EB3C178" w:rsidR="00664944" w:rsidRDefault="009B504D" w:rsidP="00664944">
      <w:pPr>
        <w:spacing w:after="200" w:line="320" w:lineRule="auto"/>
      </w:pPr>
      <w:r>
        <w:t xml:space="preserve">However, the problem begins with the question asked of the commuters: whether they would “prefer” to live in Telluride if it were “affordable.” The vast majority answered yes, since who would answer no when the question is phrased as such? </w:t>
      </w:r>
      <w:r w:rsidR="00664944">
        <w:t>\</w:t>
      </w:r>
    </w:p>
    <w:p w14:paraId="6C944B8C" w14:textId="77777777" w:rsidR="00664944" w:rsidRDefault="00664944" w:rsidP="00664944">
      <w:pPr>
        <w:spacing w:after="200" w:line="320" w:lineRule="auto"/>
      </w:pPr>
      <w:r>
        <w:t xml:space="preserve">However, the questionnaire did not ask whether “affordable” means the same size living quarters they are currently in, or perhaps half the living space and no yard in Telluride. So basically, “affordable” is always appreciated by respondents to surveys, but no consequences are identified. </w:t>
      </w:r>
    </w:p>
    <w:p w14:paraId="37505A08" w14:textId="68FA5795" w:rsidR="00664944" w:rsidRDefault="00664944">
      <w:pPr>
        <w:spacing w:after="200" w:line="320" w:lineRule="auto"/>
      </w:pPr>
      <w:r>
        <w:t>The study then converts people to households at 1.43 employees each</w:t>
      </w:r>
      <w:r>
        <w:t xml:space="preserve">, resulting in </w:t>
      </w:r>
      <w:r w:rsidRPr="00F72323">
        <w:rPr>
          <w:b/>
          <w:bCs/>
        </w:rPr>
        <w:t>520 housing units</w:t>
      </w:r>
      <w:r>
        <w:t xml:space="preserve"> of commuters who would prefer to live in “affordable” housing in Telluride. </w:t>
      </w:r>
      <w:r>
        <w:t xml:space="preserve"> </w:t>
      </w:r>
    </w:p>
    <w:p w14:paraId="2CEB3458" w14:textId="008964AB" w:rsidR="009B504D" w:rsidRDefault="009B504D">
      <w:pPr>
        <w:spacing w:after="200" w:line="320" w:lineRule="auto"/>
      </w:pPr>
      <w:r>
        <w:t xml:space="preserve">But the detailed question is also interesting: of those who would prefer to live in Telluride if affordable, 55% would only do so if they could buy a house, and only 7% for rentals, with an additional 9% who would consider either.  </w:t>
      </w:r>
    </w:p>
    <w:tbl>
      <w:tblPr>
        <w:tblStyle w:val="TableGrid"/>
        <w:tblW w:w="0" w:type="auto"/>
        <w:tblLook w:val="04A0" w:firstRow="1" w:lastRow="0" w:firstColumn="1" w:lastColumn="0" w:noHBand="0" w:noVBand="1"/>
      </w:tblPr>
      <w:tblGrid>
        <w:gridCol w:w="3076"/>
        <w:gridCol w:w="3077"/>
        <w:gridCol w:w="3077"/>
      </w:tblGrid>
      <w:tr w:rsidR="002A478F" w14:paraId="13A6A382" w14:textId="77777777" w:rsidTr="002A478F">
        <w:tc>
          <w:tcPr>
            <w:tcW w:w="3076" w:type="dxa"/>
          </w:tcPr>
          <w:p w14:paraId="06C6743A" w14:textId="5EF42F64" w:rsidR="002A478F" w:rsidRDefault="002A478F" w:rsidP="002A478F">
            <w:pPr>
              <w:spacing w:after="200" w:line="320" w:lineRule="auto"/>
            </w:pPr>
            <w:r>
              <w:rPr>
                <w:rStyle w:val="wordanimatingyu34g11"/>
                <w:rFonts w:ascii="Segoe UI" w:hAnsi="Segoe UI" w:cs="Segoe UI"/>
                <w:color w:val="0B0B0B"/>
                <w:sz w:val="21"/>
                <w:szCs w:val="21"/>
              </w:rPr>
              <w:t>Group</w:t>
            </w:r>
          </w:p>
        </w:tc>
        <w:tc>
          <w:tcPr>
            <w:tcW w:w="3077" w:type="dxa"/>
          </w:tcPr>
          <w:p w14:paraId="0665779E" w14:textId="58CAFA02" w:rsidR="002A478F" w:rsidRDefault="002A478F" w:rsidP="002A478F">
            <w:pPr>
              <w:spacing w:after="200" w:line="320" w:lineRule="auto"/>
            </w:pPr>
            <w:r>
              <w:rPr>
                <w:rStyle w:val="wordanimatingyu34g11"/>
                <w:rFonts w:ascii="Segoe UI" w:hAnsi="Segoe UI" w:cs="Segoe UI"/>
                <w:color w:val="0B0B0B"/>
                <w:sz w:val="21"/>
                <w:szCs w:val="21"/>
              </w:rPr>
              <w:t>Would move to BUY</w:t>
            </w:r>
          </w:p>
        </w:tc>
        <w:tc>
          <w:tcPr>
            <w:tcW w:w="3077" w:type="dxa"/>
          </w:tcPr>
          <w:p w14:paraId="7DAA91C1" w14:textId="7DE5F33E" w:rsidR="002A478F" w:rsidRDefault="002A478F" w:rsidP="002A478F">
            <w:pPr>
              <w:spacing w:after="200" w:line="320" w:lineRule="auto"/>
            </w:pPr>
            <w:r>
              <w:rPr>
                <w:rStyle w:val="wordanimatingyu34g11"/>
                <w:rFonts w:ascii="Segoe UI" w:hAnsi="Segoe UI" w:cs="Segoe UI"/>
                <w:color w:val="0B0B0B"/>
                <w:sz w:val="21"/>
                <w:szCs w:val="21"/>
              </w:rPr>
              <w:t>Would move to RENT</w:t>
            </w:r>
          </w:p>
        </w:tc>
      </w:tr>
      <w:tr w:rsidR="002A478F" w14:paraId="2665CB37" w14:textId="77777777" w:rsidTr="002A478F">
        <w:tc>
          <w:tcPr>
            <w:tcW w:w="3076" w:type="dxa"/>
          </w:tcPr>
          <w:p w14:paraId="7ADB7895" w14:textId="79B18D87" w:rsidR="002A478F" w:rsidRPr="002A478F" w:rsidRDefault="002A478F" w:rsidP="002A478F">
            <w:pPr>
              <w:spacing w:after="200" w:line="320" w:lineRule="auto"/>
              <w:rPr>
                <w:b/>
                <w:bCs/>
              </w:rPr>
            </w:pPr>
            <w:r w:rsidRPr="002A478F">
              <w:rPr>
                <w:rStyle w:val="wordanimatingyu34g11"/>
                <w:rFonts w:ascii="Segoe UI" w:hAnsi="Segoe UI" w:cs="Segoe UI"/>
                <w:b/>
                <w:bCs/>
                <w:color w:val="0B0B0B"/>
                <w:sz w:val="21"/>
                <w:szCs w:val="21"/>
              </w:rPr>
              <w:t>All respondents</w:t>
            </w:r>
          </w:p>
        </w:tc>
        <w:tc>
          <w:tcPr>
            <w:tcW w:w="3077" w:type="dxa"/>
          </w:tcPr>
          <w:p w14:paraId="50ADDB79" w14:textId="2B8F6590" w:rsidR="002A478F" w:rsidRPr="002A478F" w:rsidRDefault="002A478F" w:rsidP="002A478F">
            <w:pPr>
              <w:spacing w:after="200" w:line="320" w:lineRule="auto"/>
              <w:rPr>
                <w:b/>
                <w:bCs/>
              </w:rPr>
            </w:pPr>
            <w:r w:rsidRPr="002A478F">
              <w:rPr>
                <w:rStyle w:val="wordanimatingyu34g11"/>
                <w:rFonts w:ascii="Segoe UI" w:hAnsi="Segoe UI" w:cs="Segoe UI"/>
                <w:b/>
                <w:bCs/>
                <w:color w:val="0B0B0B"/>
                <w:sz w:val="21"/>
                <w:szCs w:val="21"/>
              </w:rPr>
              <w:t>50%</w:t>
            </w:r>
          </w:p>
        </w:tc>
        <w:tc>
          <w:tcPr>
            <w:tcW w:w="3077" w:type="dxa"/>
          </w:tcPr>
          <w:p w14:paraId="38C987A6" w14:textId="3737FFFB" w:rsidR="002A478F" w:rsidRPr="002A478F" w:rsidRDefault="002A478F" w:rsidP="002A478F">
            <w:pPr>
              <w:spacing w:after="200" w:line="320" w:lineRule="auto"/>
              <w:rPr>
                <w:b/>
                <w:bCs/>
              </w:rPr>
            </w:pPr>
            <w:r w:rsidRPr="002A478F">
              <w:rPr>
                <w:rStyle w:val="wordanimatingyu34g11"/>
                <w:rFonts w:ascii="Segoe UI" w:hAnsi="Segoe UI" w:cs="Segoe UI"/>
                <w:b/>
                <w:bCs/>
                <w:color w:val="0B0B0B"/>
                <w:sz w:val="21"/>
                <w:szCs w:val="21"/>
              </w:rPr>
              <w:t>3%</w:t>
            </w:r>
          </w:p>
        </w:tc>
      </w:tr>
      <w:tr w:rsidR="002A478F" w14:paraId="33C049CB" w14:textId="77777777" w:rsidTr="002A478F">
        <w:tc>
          <w:tcPr>
            <w:tcW w:w="3076" w:type="dxa"/>
          </w:tcPr>
          <w:p w14:paraId="2A31C3A4" w14:textId="7A6422A3" w:rsidR="002A478F" w:rsidRDefault="002A478F" w:rsidP="002A478F">
            <w:pPr>
              <w:spacing w:after="200" w:line="320" w:lineRule="auto"/>
            </w:pPr>
            <w:r>
              <w:rPr>
                <w:rFonts w:ascii="Segoe UI" w:hAnsi="Segoe UI" w:cs="Segoe UI"/>
                <w:color w:val="0B0B0B"/>
                <w:sz w:val="21"/>
                <w:szCs w:val="21"/>
              </w:rPr>
              <w:t>In-commuters</w:t>
            </w:r>
          </w:p>
        </w:tc>
        <w:tc>
          <w:tcPr>
            <w:tcW w:w="3077" w:type="dxa"/>
          </w:tcPr>
          <w:p w14:paraId="522B2911" w14:textId="6E91BAFA" w:rsidR="002A478F" w:rsidRDefault="002A478F" w:rsidP="002A478F">
            <w:pPr>
              <w:spacing w:after="200" w:line="320" w:lineRule="auto"/>
            </w:pPr>
            <w:r>
              <w:rPr>
                <w:rFonts w:ascii="Segoe UI" w:hAnsi="Segoe UI" w:cs="Segoe UI"/>
                <w:color w:val="0B0B0B"/>
                <w:sz w:val="21"/>
                <w:szCs w:val="21"/>
              </w:rPr>
              <w:t>55%</w:t>
            </w:r>
          </w:p>
        </w:tc>
        <w:tc>
          <w:tcPr>
            <w:tcW w:w="3077" w:type="dxa"/>
          </w:tcPr>
          <w:p w14:paraId="5CD35DBF" w14:textId="67BEFB15" w:rsidR="002A478F" w:rsidRDefault="002A478F" w:rsidP="002A478F">
            <w:pPr>
              <w:spacing w:after="200" w:line="320" w:lineRule="auto"/>
            </w:pPr>
            <w:r>
              <w:rPr>
                <w:rStyle w:val="wordanimatingyu34g11"/>
                <w:rFonts w:ascii="Segoe UI" w:hAnsi="Segoe UI" w:cs="Segoe UI"/>
                <w:color w:val="0B0B0B"/>
                <w:sz w:val="21"/>
                <w:szCs w:val="21"/>
              </w:rPr>
              <w:t>7%</w:t>
            </w:r>
          </w:p>
        </w:tc>
      </w:tr>
      <w:tr w:rsidR="002A478F" w14:paraId="2CA4AE65" w14:textId="77777777" w:rsidTr="002A478F">
        <w:tc>
          <w:tcPr>
            <w:tcW w:w="3076" w:type="dxa"/>
          </w:tcPr>
          <w:p w14:paraId="72DBCFAD" w14:textId="24B354FC" w:rsidR="002A478F" w:rsidRDefault="002A478F" w:rsidP="002A478F">
            <w:pPr>
              <w:spacing w:after="200" w:line="320" w:lineRule="auto"/>
            </w:pPr>
            <w:r>
              <w:rPr>
                <w:rStyle w:val="wordanimatingyu34g11"/>
                <w:rFonts w:ascii="Segoe UI" w:hAnsi="Segoe UI" w:cs="Segoe UI"/>
                <w:color w:val="0B0B0B"/>
                <w:sz w:val="21"/>
                <w:szCs w:val="21"/>
              </w:rPr>
              <w:t>Current owners</w:t>
            </w:r>
          </w:p>
        </w:tc>
        <w:tc>
          <w:tcPr>
            <w:tcW w:w="3077" w:type="dxa"/>
          </w:tcPr>
          <w:p w14:paraId="75BB255E" w14:textId="0ED000CC" w:rsidR="002A478F" w:rsidRDefault="002A478F" w:rsidP="002A478F">
            <w:pPr>
              <w:spacing w:after="200" w:line="320" w:lineRule="auto"/>
            </w:pPr>
            <w:r>
              <w:rPr>
                <w:rStyle w:val="wordanimatingyu34g11"/>
                <w:rFonts w:ascii="Segoe UI" w:hAnsi="Segoe UI" w:cs="Segoe UI"/>
                <w:color w:val="0B0B0B"/>
                <w:sz w:val="21"/>
                <w:szCs w:val="21"/>
              </w:rPr>
              <w:t>45%</w:t>
            </w:r>
          </w:p>
        </w:tc>
        <w:tc>
          <w:tcPr>
            <w:tcW w:w="3077" w:type="dxa"/>
          </w:tcPr>
          <w:p w14:paraId="27957B37" w14:textId="5CBB3CE4" w:rsidR="002A478F" w:rsidRDefault="002A478F" w:rsidP="002A478F">
            <w:pPr>
              <w:spacing w:after="200" w:line="320" w:lineRule="auto"/>
            </w:pPr>
            <w:r>
              <w:rPr>
                <w:rStyle w:val="wordanimatingyu34g11"/>
                <w:rFonts w:ascii="Segoe UI" w:hAnsi="Segoe UI" w:cs="Segoe UI"/>
                <w:color w:val="0B0B0B"/>
                <w:sz w:val="21"/>
                <w:szCs w:val="21"/>
              </w:rPr>
              <w:t>1%</w:t>
            </w:r>
          </w:p>
        </w:tc>
      </w:tr>
      <w:tr w:rsidR="002A478F" w14:paraId="6146DBD9" w14:textId="77777777" w:rsidTr="002A478F">
        <w:tc>
          <w:tcPr>
            <w:tcW w:w="3076" w:type="dxa"/>
          </w:tcPr>
          <w:p w14:paraId="44C3221F" w14:textId="161BEC2B" w:rsidR="002A478F" w:rsidRDefault="002A478F" w:rsidP="002A478F">
            <w:pPr>
              <w:spacing w:after="200" w:line="320" w:lineRule="auto"/>
            </w:pPr>
            <w:r>
              <w:rPr>
                <w:rStyle w:val="Strong"/>
                <w:rFonts w:ascii="Segoe UI" w:hAnsi="Segoe UI" w:cs="Segoe UI"/>
                <w:b w:val="0"/>
                <w:bCs w:val="0"/>
                <w:color w:val="0B0B0B"/>
                <w:sz w:val="21"/>
                <w:szCs w:val="21"/>
              </w:rPr>
              <w:t>Current renters</w:t>
            </w:r>
          </w:p>
        </w:tc>
        <w:tc>
          <w:tcPr>
            <w:tcW w:w="3077" w:type="dxa"/>
          </w:tcPr>
          <w:p w14:paraId="0D00D967" w14:textId="483FF255" w:rsidR="002A478F" w:rsidRDefault="002A478F" w:rsidP="002A478F">
            <w:pPr>
              <w:spacing w:after="200" w:line="320" w:lineRule="auto"/>
            </w:pPr>
            <w:r>
              <w:rPr>
                <w:rStyle w:val="wordanimatingyu34g11"/>
                <w:rFonts w:ascii="Segoe UI" w:hAnsi="Segoe UI" w:cs="Segoe UI"/>
                <w:color w:val="0B0B0B"/>
                <w:sz w:val="21"/>
                <w:szCs w:val="21"/>
              </w:rPr>
              <w:t>59%</w:t>
            </w:r>
          </w:p>
        </w:tc>
        <w:tc>
          <w:tcPr>
            <w:tcW w:w="3077" w:type="dxa"/>
          </w:tcPr>
          <w:p w14:paraId="74A10B99" w14:textId="58407002" w:rsidR="002A478F" w:rsidRDefault="002A478F" w:rsidP="002A478F">
            <w:pPr>
              <w:spacing w:after="200" w:line="320" w:lineRule="auto"/>
            </w:pPr>
            <w:r>
              <w:rPr>
                <w:rStyle w:val="wordanimatingyu34g11"/>
                <w:rFonts w:ascii="Segoe UI" w:hAnsi="Segoe UI" w:cs="Segoe UI"/>
                <w:color w:val="0B0B0B"/>
                <w:sz w:val="21"/>
                <w:szCs w:val="21"/>
              </w:rPr>
              <w:t>5%</w:t>
            </w:r>
          </w:p>
        </w:tc>
      </w:tr>
      <w:tr w:rsidR="002A478F" w14:paraId="136EAC9C" w14:textId="77777777" w:rsidTr="002A478F">
        <w:tc>
          <w:tcPr>
            <w:tcW w:w="3076" w:type="dxa"/>
          </w:tcPr>
          <w:p w14:paraId="766D09FE" w14:textId="3B15E15B" w:rsidR="002A478F" w:rsidRDefault="002A478F" w:rsidP="002A478F">
            <w:pPr>
              <w:spacing w:after="200" w:line="320" w:lineRule="auto"/>
            </w:pPr>
            <w:r>
              <w:rPr>
                <w:rFonts w:ascii="Segoe UI" w:hAnsi="Segoe UI" w:cs="Segoe UI"/>
                <w:color w:val="0B0B0B"/>
                <w:sz w:val="21"/>
                <w:szCs w:val="21"/>
              </w:rPr>
              <w:t>Free market </w:t>
            </w:r>
            <w:r>
              <w:rPr>
                <w:rStyle w:val="wordanimatingyu34g11"/>
                <w:rFonts w:ascii="Segoe UI" w:hAnsi="Segoe UI" w:cs="Segoe UI"/>
                <w:color w:val="0B0B0B"/>
                <w:sz w:val="21"/>
                <w:szCs w:val="21"/>
              </w:rPr>
              <w:t>housing</w:t>
            </w:r>
          </w:p>
        </w:tc>
        <w:tc>
          <w:tcPr>
            <w:tcW w:w="3077" w:type="dxa"/>
          </w:tcPr>
          <w:p w14:paraId="50254045" w14:textId="517337B9" w:rsidR="002A478F" w:rsidRDefault="002A478F" w:rsidP="002A478F">
            <w:pPr>
              <w:spacing w:after="200" w:line="320" w:lineRule="auto"/>
            </w:pPr>
            <w:r>
              <w:rPr>
                <w:rStyle w:val="wordanimatingyu34g11"/>
                <w:rFonts w:ascii="Segoe UI" w:hAnsi="Segoe UI" w:cs="Segoe UI"/>
                <w:color w:val="0B0B0B"/>
                <w:sz w:val="21"/>
                <w:szCs w:val="21"/>
              </w:rPr>
              <w:t>47%</w:t>
            </w:r>
          </w:p>
        </w:tc>
        <w:tc>
          <w:tcPr>
            <w:tcW w:w="3077" w:type="dxa"/>
          </w:tcPr>
          <w:p w14:paraId="401F7F97" w14:textId="4C2DA1FA" w:rsidR="002A478F" w:rsidRDefault="002A478F" w:rsidP="002A478F">
            <w:pPr>
              <w:spacing w:after="200" w:line="320" w:lineRule="auto"/>
            </w:pPr>
            <w:r>
              <w:rPr>
                <w:rStyle w:val="wordanimatingyu34g11"/>
                <w:rFonts w:ascii="Segoe UI" w:hAnsi="Segoe UI" w:cs="Segoe UI"/>
                <w:color w:val="0B0B0B"/>
                <w:sz w:val="21"/>
                <w:szCs w:val="21"/>
              </w:rPr>
              <w:t>2%</w:t>
            </w:r>
          </w:p>
        </w:tc>
      </w:tr>
      <w:tr w:rsidR="002A478F" w14:paraId="655D1572" w14:textId="77777777" w:rsidTr="002A478F">
        <w:tc>
          <w:tcPr>
            <w:tcW w:w="3076" w:type="dxa"/>
          </w:tcPr>
          <w:p w14:paraId="17E08D9A" w14:textId="0DABD1A2" w:rsidR="002A478F" w:rsidRDefault="002A478F" w:rsidP="002A478F">
            <w:pPr>
              <w:spacing w:after="200" w:line="320" w:lineRule="auto"/>
            </w:pPr>
            <w:r>
              <w:rPr>
                <w:rFonts w:ascii="Segoe UI" w:hAnsi="Segoe UI" w:cs="Segoe UI"/>
                <w:color w:val="0B0B0B"/>
                <w:sz w:val="21"/>
                <w:szCs w:val="21"/>
              </w:rPr>
              <w:t>Employer </w:t>
            </w:r>
            <w:r>
              <w:rPr>
                <w:rStyle w:val="wordanimatingyu34g11"/>
                <w:rFonts w:ascii="Segoe UI" w:hAnsi="Segoe UI" w:cs="Segoe UI"/>
                <w:color w:val="0B0B0B"/>
                <w:sz w:val="21"/>
                <w:szCs w:val="21"/>
              </w:rPr>
              <w:t>housing</w:t>
            </w:r>
          </w:p>
        </w:tc>
        <w:tc>
          <w:tcPr>
            <w:tcW w:w="3077" w:type="dxa"/>
          </w:tcPr>
          <w:p w14:paraId="1CA517E0" w14:textId="1395F737" w:rsidR="002A478F" w:rsidRDefault="002A478F" w:rsidP="002A478F">
            <w:pPr>
              <w:spacing w:after="200" w:line="320" w:lineRule="auto"/>
            </w:pPr>
            <w:r>
              <w:rPr>
                <w:rStyle w:val="wordanimatingyu34g11"/>
                <w:rFonts w:ascii="Segoe UI" w:hAnsi="Segoe UI" w:cs="Segoe UI"/>
                <w:color w:val="0B0B0B"/>
                <w:sz w:val="21"/>
                <w:szCs w:val="21"/>
              </w:rPr>
              <w:t>64%</w:t>
            </w:r>
          </w:p>
        </w:tc>
        <w:tc>
          <w:tcPr>
            <w:tcW w:w="3077" w:type="dxa"/>
          </w:tcPr>
          <w:p w14:paraId="0491B86E" w14:textId="7B39B7C4" w:rsidR="002A478F" w:rsidRDefault="002A478F" w:rsidP="002A478F">
            <w:pPr>
              <w:spacing w:after="200" w:line="320" w:lineRule="auto"/>
            </w:pPr>
            <w:r>
              <w:rPr>
                <w:rStyle w:val="wordanimatingyu34g11"/>
                <w:rFonts w:ascii="Segoe UI" w:hAnsi="Segoe UI" w:cs="Segoe UI"/>
                <w:color w:val="0B0B0B"/>
                <w:sz w:val="21"/>
                <w:szCs w:val="21"/>
              </w:rPr>
              <w:t>4%</w:t>
            </w:r>
          </w:p>
        </w:tc>
      </w:tr>
      <w:tr w:rsidR="002A478F" w14:paraId="4CC2C323" w14:textId="77777777" w:rsidTr="002A478F">
        <w:tc>
          <w:tcPr>
            <w:tcW w:w="3076" w:type="dxa"/>
          </w:tcPr>
          <w:p w14:paraId="3F0CAD2D" w14:textId="704BE2A5" w:rsidR="002A478F" w:rsidRDefault="002A478F" w:rsidP="002A478F">
            <w:pPr>
              <w:spacing w:after="200" w:line="320" w:lineRule="auto"/>
            </w:pPr>
            <w:r>
              <w:rPr>
                <w:rStyle w:val="Strong"/>
                <w:rFonts w:ascii="Segoe UI" w:hAnsi="Segoe UI" w:cs="Segoe UI"/>
                <w:b w:val="0"/>
                <w:bCs w:val="0"/>
                <w:color w:val="0B0B0B"/>
                <w:sz w:val="21"/>
                <w:szCs w:val="21"/>
              </w:rPr>
              <w:t xml:space="preserve">Already </w:t>
            </w:r>
            <w:proofErr w:type="gramStart"/>
            <w:r>
              <w:rPr>
                <w:rStyle w:val="Strong"/>
                <w:rFonts w:ascii="Segoe UI" w:hAnsi="Segoe UI" w:cs="Segoe UI"/>
                <w:b w:val="0"/>
                <w:bCs w:val="0"/>
                <w:color w:val="0B0B0B"/>
                <w:sz w:val="21"/>
                <w:szCs w:val="21"/>
              </w:rPr>
              <w:t>in deed</w:t>
            </w:r>
            <w:proofErr w:type="gramEnd"/>
            <w:r>
              <w:rPr>
                <w:rStyle w:val="Strong"/>
                <w:rFonts w:ascii="Segoe UI" w:hAnsi="Segoe UI" w:cs="Segoe UI"/>
                <w:b w:val="0"/>
                <w:bCs w:val="0"/>
                <w:color w:val="0B0B0B"/>
                <w:sz w:val="21"/>
                <w:szCs w:val="21"/>
              </w:rPr>
              <w:t>-restricted units</w:t>
            </w:r>
          </w:p>
        </w:tc>
        <w:tc>
          <w:tcPr>
            <w:tcW w:w="3077" w:type="dxa"/>
          </w:tcPr>
          <w:p w14:paraId="645C6D5D" w14:textId="2A42CB4E" w:rsidR="002A478F" w:rsidRDefault="002A478F" w:rsidP="002A478F">
            <w:pPr>
              <w:spacing w:after="200" w:line="320" w:lineRule="auto"/>
            </w:pPr>
            <w:r>
              <w:rPr>
                <w:rStyle w:val="wordanimatingyu34g11"/>
                <w:rFonts w:ascii="Segoe UI" w:hAnsi="Segoe UI" w:cs="Segoe UI"/>
                <w:color w:val="0B0B0B"/>
                <w:sz w:val="21"/>
                <w:szCs w:val="21"/>
              </w:rPr>
              <w:t>56%</w:t>
            </w:r>
          </w:p>
        </w:tc>
        <w:tc>
          <w:tcPr>
            <w:tcW w:w="3077" w:type="dxa"/>
          </w:tcPr>
          <w:p w14:paraId="48DC76B4" w14:textId="5F7E3072" w:rsidR="002A478F" w:rsidRDefault="002A478F" w:rsidP="002A478F">
            <w:pPr>
              <w:spacing w:after="200" w:line="320" w:lineRule="auto"/>
            </w:pPr>
            <w:r>
              <w:rPr>
                <w:rStyle w:val="wordanimatingyu34g11"/>
                <w:rFonts w:ascii="Segoe UI" w:hAnsi="Segoe UI" w:cs="Segoe UI"/>
                <w:color w:val="0B0B0B"/>
                <w:sz w:val="21"/>
                <w:szCs w:val="21"/>
              </w:rPr>
              <w:t>2%</w:t>
            </w:r>
          </w:p>
        </w:tc>
      </w:tr>
    </w:tbl>
    <w:p w14:paraId="1DCDB900" w14:textId="77777777" w:rsidR="009B504D" w:rsidRDefault="009B504D">
      <w:pPr>
        <w:spacing w:after="200" w:line="320" w:lineRule="auto"/>
      </w:pPr>
    </w:p>
    <w:p w14:paraId="068A72CD" w14:textId="66FED64E" w:rsidR="002A478F" w:rsidRDefault="00664944">
      <w:pPr>
        <w:spacing w:after="200" w:line="320" w:lineRule="auto"/>
      </w:pPr>
      <w:r>
        <w:rPr>
          <w:color w:val="auto"/>
        </w:rPr>
        <w:lastRenderedPageBreak/>
        <w:t>These responses clearly show that most people ultimately want to own an “affordable” home in the San Miguel East End but have little interest in renting a unit. </w:t>
      </w:r>
    </w:p>
    <w:p w14:paraId="75AFA4DE" w14:textId="77777777" w:rsidR="00664944" w:rsidRDefault="00664944" w:rsidP="00664944">
      <w:pPr>
        <w:spacing w:after="200" w:line="320" w:lineRule="auto"/>
        <w:rPr>
          <w:rFonts w:ascii="Segoe UI" w:hAnsi="Segoe UI" w:cs="Segoe UI"/>
          <w:color w:val="0B0B0B"/>
          <w:sz w:val="21"/>
          <w:szCs w:val="21"/>
          <w:shd w:val="clear" w:color="auto" w:fill="FCFCFB"/>
        </w:rPr>
      </w:pPr>
      <w:r>
        <w:rPr>
          <w:rFonts w:ascii="Segoe UI" w:hAnsi="Segoe UI" w:cs="Segoe UI"/>
          <w:color w:val="0B0B0B"/>
          <w:sz w:val="21"/>
          <w:szCs w:val="21"/>
          <w:shd w:val="clear" w:color="auto" w:fill="FCFCFB"/>
        </w:rPr>
        <w:t xml:space="preserve">The 55-versus-7 split predicts that a rental building aimed at established commuter households will underfill, and that a for-sale building will oversubscribe. </w:t>
      </w:r>
    </w:p>
    <w:p w14:paraId="165C23DB" w14:textId="59704CBF" w:rsidR="00F07096" w:rsidRDefault="00000000">
      <w:pPr>
        <w:spacing w:after="200" w:line="320" w:lineRule="auto"/>
      </w:pPr>
      <w:r>
        <w:t>Demand here is not one number. It changes enormously depending on what you charge, and a study that produces a single figure cannot capture that.</w:t>
      </w:r>
    </w:p>
    <w:p w14:paraId="67D83DE8" w14:textId="77777777" w:rsidR="00F07096" w:rsidRDefault="00000000">
      <w:pPr>
        <w:spacing w:before="340" w:after="150"/>
      </w:pPr>
      <w:proofErr w:type="gramStart"/>
      <w:r>
        <w:rPr>
          <w:b/>
          <w:bCs/>
          <w:color w:val="1D5C63"/>
          <w:sz w:val="27"/>
          <w:szCs w:val="27"/>
        </w:rPr>
        <w:t>So</w:t>
      </w:r>
      <w:proofErr w:type="gramEnd"/>
      <w:r>
        <w:rPr>
          <w:b/>
          <w:bCs/>
          <w:color w:val="1D5C63"/>
          <w:sz w:val="27"/>
          <w:szCs w:val="27"/>
        </w:rPr>
        <w:t xml:space="preserve"> I counted something myself</w:t>
      </w:r>
    </w:p>
    <w:p w14:paraId="6DCBD3B5" w14:textId="77777777" w:rsidR="00F07096" w:rsidRDefault="00000000">
      <w:pPr>
        <w:spacing w:after="200" w:line="320" w:lineRule="auto"/>
      </w:pPr>
      <w:r>
        <w:t xml:space="preserve">Since nobody around here keeps track of any of this, I decided to count something that has been sitting in plain sight the whole time. Every week the Telluride Times prints a help wanted section. I went through seventeen straight weeks of them, from the beginning of April through the first week of </w:t>
      </w:r>
      <w:proofErr w:type="gramStart"/>
      <w:r>
        <w:t>August, and</w:t>
      </w:r>
      <w:proofErr w:type="gramEnd"/>
      <w:r>
        <w:t xml:space="preserve"> wrote down every single job.</w:t>
      </w:r>
    </w:p>
    <w:p w14:paraId="3F85AC35" w14:textId="77777777" w:rsidR="00F07096" w:rsidRDefault="00000000">
      <w:pPr>
        <w:spacing w:after="200" w:line="320" w:lineRule="auto"/>
      </w:pPr>
      <w:r>
        <w:t>There were 172 of them. About half printed an actual wage, and most of those land somewhere between $45,000 and $65,000 a year. That is close to what the federal payroll figures say people here earn, which is reassuring in the sense that two completely different sources agree with each other, and discouraging in the sense that neither one comes anywhere near what it costs to live here.</w:t>
      </w:r>
    </w:p>
    <w:p w14:paraId="062C44D9" w14:textId="77777777" w:rsidR="00F07096" w:rsidRDefault="00000000">
      <w:pPr>
        <w:spacing w:after="200" w:line="320" w:lineRule="auto"/>
      </w:pPr>
      <w:r>
        <w:t xml:space="preserve">But the thing that stopped me was smaller and stranger than that. </w:t>
      </w:r>
      <w:r>
        <w:rPr>
          <w:b/>
          <w:bCs/>
        </w:rPr>
        <w:t>Seventeen of those advertisements offered housing as part of the job.</w:t>
      </w:r>
      <w:r>
        <w:t xml:space="preserve"> Not a signing bonus or a ski pass, but a place to live.</w:t>
      </w:r>
    </w:p>
    <w:p w14:paraId="6B59F945" w14:textId="77777777" w:rsidR="00F07096" w:rsidRDefault="00000000">
      <w:pPr>
        <w:spacing w:after="200" w:line="320" w:lineRule="auto"/>
      </w:pPr>
      <w:r>
        <w:t xml:space="preserve">And the number kept growing as the season went on. In April, roughly one advertisement in eleven mentioned housing. By the middle of </w:t>
      </w:r>
      <w:proofErr w:type="gramStart"/>
      <w:r>
        <w:t>July</w:t>
      </w:r>
      <w:proofErr w:type="gramEnd"/>
      <w:r>
        <w:t xml:space="preserve"> it was two in every seven. Employers here have started competing on housing the way they used to compete on wages, and they are paying for the advertisement that says so. One of them is San Miguel County itself, which mentioned housing in its posting for a Planning Director.</w:t>
      </w:r>
    </w:p>
    <w:p w14:paraId="75BCADFF" w14:textId="77777777" w:rsidR="00F07096" w:rsidRDefault="00000000">
      <w:pPr>
        <w:spacing w:after="200" w:line="320" w:lineRule="auto"/>
      </w:pPr>
      <w:r>
        <w:t xml:space="preserve">Here is why that matters for the number everyone quotes. </w:t>
      </w:r>
      <w:r>
        <w:rPr>
          <w:b/>
          <w:bCs/>
        </w:rPr>
        <w:t>Every one of those 172 jobs already exists.</w:t>
      </w:r>
      <w:r>
        <w:t xml:space="preserve"> Somebody is already doing that work, or nobody is and a business is short-handed because of it. These are not jobs from a projection or a growth model. They are jobs on a page, printed on a Thursday, in a paper you can pick up at the market.</w:t>
      </w:r>
    </w:p>
    <w:p w14:paraId="626BF90F" w14:textId="77777777" w:rsidR="00F07096" w:rsidRDefault="00000000">
      <w:pPr>
        <w:spacing w:after="200" w:line="320" w:lineRule="auto"/>
      </w:pPr>
      <w:r>
        <w:t>The people who would fill them are the 182, not the 932.</w:t>
      </w:r>
    </w:p>
    <w:p w14:paraId="633EA42A" w14:textId="77777777" w:rsidR="00F07096" w:rsidRDefault="00000000">
      <w:pPr>
        <w:spacing w:before="340" w:after="150"/>
      </w:pPr>
      <w:r>
        <w:rPr>
          <w:b/>
          <w:bCs/>
          <w:color w:val="1D5C63"/>
          <w:sz w:val="27"/>
          <w:szCs w:val="27"/>
        </w:rPr>
        <w:t>Two different problems wearing the same name</w:t>
      </w:r>
    </w:p>
    <w:p w14:paraId="752CD8CA" w14:textId="77777777" w:rsidR="00F07096" w:rsidRDefault="00000000">
      <w:pPr>
        <w:spacing w:after="200" w:line="320" w:lineRule="auto"/>
      </w:pPr>
      <w:r>
        <w:lastRenderedPageBreak/>
        <w:t>Picture two people.</w:t>
      </w:r>
    </w:p>
    <w:p w14:paraId="5485AF0C" w14:textId="77777777" w:rsidR="00F07096" w:rsidRDefault="00000000">
      <w:pPr>
        <w:spacing w:after="200" w:line="320" w:lineRule="auto"/>
      </w:pPr>
      <w:r>
        <w:t>The first is a line cook who has worked at the same restaurant for six years and sleeps on a friend’s couch. Or a teacher sharing an apartment with a roommate she did not choose. Or the plow driver who leaves Montrose at half past four in the morning. These people already work here. They are already part of this community in every way except one. Housing them does not add a single person to this valley. It moves people who are already here into somewhere they can actually live.</w:t>
      </w:r>
    </w:p>
    <w:p w14:paraId="27994E54" w14:textId="77777777" w:rsidR="00F07096" w:rsidRDefault="00000000">
      <w:pPr>
        <w:spacing w:after="200" w:line="320" w:lineRule="auto"/>
      </w:pPr>
      <w:r>
        <w:t>The second is a job that does not exist yet, at a business that has not opened, eventually filled by somebody who does not live here now. Building housing for that person is a decision to grow. That is a perfectly legitimate thing for a community to choose, and plenty of places choose it deliberately and are glad they did.</w:t>
      </w:r>
    </w:p>
    <w:p w14:paraId="3F5EC6BB" w14:textId="77777777" w:rsidR="00F07096" w:rsidRDefault="00000000">
      <w:pPr>
        <w:spacing w:after="200" w:line="320" w:lineRule="auto"/>
      </w:pPr>
      <w:r>
        <w:t>But these are not the same decision. They do not cost the same. They do not put the same pressure on the sewer plant, the highway, or the schools. And they do not end in the same place.</w:t>
      </w:r>
    </w:p>
    <w:p w14:paraId="31FAC216" w14:textId="77777777" w:rsidR="00F07096" w:rsidRDefault="00000000">
      <w:pPr>
        <w:spacing w:after="200" w:line="320" w:lineRule="auto"/>
      </w:pPr>
      <w:r>
        <w:t xml:space="preserve">Right </w:t>
      </w:r>
      <w:proofErr w:type="gramStart"/>
      <w:r>
        <w:t>now</w:t>
      </w:r>
      <w:proofErr w:type="gramEnd"/>
      <w:r>
        <w:t xml:space="preserve"> we make both decisions using one number, which means we mostly make the second decision without ever noticing we made it.</w:t>
      </w:r>
    </w:p>
    <w:p w14:paraId="7BF48AC6" w14:textId="77777777" w:rsidR="00F07096" w:rsidRDefault="00000000">
      <w:pPr>
        <w:spacing w:before="340" w:after="150"/>
      </w:pPr>
      <w:r>
        <w:rPr>
          <w:b/>
          <w:bCs/>
          <w:color w:val="1D5C63"/>
          <w:sz w:val="27"/>
          <w:szCs w:val="27"/>
        </w:rPr>
        <w:t>Why this matters more than it sounds</w:t>
      </w:r>
    </w:p>
    <w:p w14:paraId="6F7CC464" w14:textId="77777777" w:rsidR="00F07096" w:rsidRDefault="00000000">
      <w:pPr>
        <w:spacing w:after="200" w:line="320" w:lineRule="auto"/>
      </w:pPr>
      <w:r>
        <w:t>Here is the part that took me a while to see clearly.</w:t>
      </w:r>
    </w:p>
    <w:p w14:paraId="208710EA" w14:textId="77777777" w:rsidR="00F07096" w:rsidRDefault="00000000">
      <w:pPr>
        <w:spacing w:after="200" w:line="320" w:lineRule="auto"/>
      </w:pPr>
      <w:r>
        <w:t xml:space="preserve">Housing built for growth does not simply use up capacity. It creates more of the very thing it was supposed to fix. Every new hotel, restaurant, and shop </w:t>
      </w:r>
      <w:proofErr w:type="gramStart"/>
      <w:r>
        <w:t>needs</w:t>
      </w:r>
      <w:proofErr w:type="gramEnd"/>
      <w:r>
        <w:t xml:space="preserve"> workers. Those workers need housing. Housing those workers creates demand for more services, which needs more workers, who need more housing. The number never shrinks, because the number is chasing itself.</w:t>
      </w:r>
    </w:p>
    <w:p w14:paraId="78A099BA" w14:textId="77777777" w:rsidR="00F07096" w:rsidRDefault="00000000">
      <w:pPr>
        <w:spacing w:after="200" w:line="320" w:lineRule="auto"/>
      </w:pPr>
      <w:r>
        <w:t>Housing built for people who already live here does not behave that way. The job already exists. The worker already buys groceries here and pays for a haircut here. Nothing new gets added except somebody finally getting a decent place to sleep.</w:t>
      </w:r>
    </w:p>
    <w:p w14:paraId="443661AA" w14:textId="77777777" w:rsidR="00F07096" w:rsidRDefault="00000000">
      <w:pPr>
        <w:spacing w:after="200" w:line="320" w:lineRule="auto"/>
      </w:pPr>
      <w:r>
        <w:t>That is the difference between a housing program that can be finished and one that cannot. And it is the reason I think the first question we ask about any housing proposal should not be how many units it has. It should be which of those two problems it is trying to solve.</w:t>
      </w:r>
    </w:p>
    <w:p w14:paraId="754DA294" w14:textId="77777777" w:rsidR="00F07096" w:rsidRDefault="00000000">
      <w:pPr>
        <w:spacing w:before="340" w:after="150"/>
      </w:pPr>
      <w:r>
        <w:rPr>
          <w:b/>
          <w:bCs/>
          <w:color w:val="1D5C63"/>
          <w:sz w:val="27"/>
          <w:szCs w:val="27"/>
        </w:rPr>
        <w:lastRenderedPageBreak/>
        <w:t>What comes next</w:t>
      </w:r>
    </w:p>
    <w:p w14:paraId="3E62F037" w14:textId="77777777" w:rsidR="00F07096" w:rsidRDefault="00000000">
      <w:pPr>
        <w:spacing w:after="200" w:line="320" w:lineRule="auto"/>
      </w:pPr>
      <w:r>
        <w:t>This is the first of several pieces I am working on. Over the coming weeks I want to walk through what our housing actually costs to build, why some of it fills instantly while other buildings sit empty, what our sewer plant has to do with all of it, and what the cheapest ways to house a working person actually are. Some of what I found surprised me, and a fair amount of it is encouraging.</w:t>
      </w:r>
    </w:p>
    <w:p w14:paraId="74A64FC2" w14:textId="77777777" w:rsidR="00F07096" w:rsidRDefault="00000000">
      <w:pPr>
        <w:spacing w:after="200" w:line="320" w:lineRule="auto"/>
      </w:pPr>
      <w:r>
        <w:t>For now, the next time you hear the number, it is worth asking a simple follow-up question. How many of those homes are for the people who are already here?</w:t>
      </w:r>
    </w:p>
    <w:p w14:paraId="2B4EC741" w14:textId="77777777" w:rsidR="00F07096" w:rsidRDefault="00000000">
      <w:pPr>
        <w:spacing w:after="200" w:line="320" w:lineRule="auto"/>
      </w:pPr>
      <w:r>
        <w:rPr>
          <w:b/>
          <w:bCs/>
        </w:rPr>
        <w:t>The answer is 182.</w:t>
      </w:r>
    </w:p>
    <w:p w14:paraId="083ED32C" w14:textId="77777777" w:rsidR="00F07096" w:rsidRDefault="00000000">
      <w:pPr>
        <w:spacing w:after="60" w:line="320" w:lineRule="auto"/>
      </w:pPr>
      <w:r>
        <w:rPr>
          <w:i/>
          <w:iCs/>
          <w:color w:val="51606D"/>
          <w:sz w:val="19"/>
          <w:szCs w:val="19"/>
        </w:rPr>
        <w:t>Livable Telluride is an independent community organization. Every figure here comes from public records, and the full analysis with sources is at livabletelluride.org. If you think I have something wrong, tell me and I will publish the correction.</w:t>
      </w:r>
    </w:p>
    <w:sectPr w:rsidR="00F07096">
      <w:pgSz w:w="12240" w:h="15840"/>
      <w:pgMar w:top="1250" w:right="1500" w:bottom="1250" w:left="15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Helvetica Neue">
    <w:altName w:val="Helvetica Neue"/>
    <w:panose1 w:val="02000503000000020004"/>
    <w:charset w:val="00"/>
    <w:family w:val="auto"/>
    <w:pitch w:val="variable"/>
    <w:sig w:usb0="E50002FF" w:usb1="500079DB" w:usb2="00000010" w:usb3="00000000" w:csb0="0000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7B64FC6"/>
    <w:multiLevelType w:val="hybridMultilevel"/>
    <w:tmpl w:val="4B149CF8"/>
    <w:lvl w:ilvl="0" w:tplc="3C32B2EC">
      <w:start w:val="1"/>
      <w:numFmt w:val="bullet"/>
      <w:lvlText w:val="●"/>
      <w:lvlJc w:val="left"/>
      <w:pPr>
        <w:ind w:left="720" w:hanging="360"/>
      </w:pPr>
    </w:lvl>
    <w:lvl w:ilvl="1" w:tplc="9A82F3D6">
      <w:start w:val="1"/>
      <w:numFmt w:val="bullet"/>
      <w:lvlText w:val="○"/>
      <w:lvlJc w:val="left"/>
      <w:pPr>
        <w:ind w:left="1440" w:hanging="360"/>
      </w:pPr>
    </w:lvl>
    <w:lvl w:ilvl="2" w:tplc="DF08BCBA">
      <w:start w:val="1"/>
      <w:numFmt w:val="bullet"/>
      <w:lvlText w:val="■"/>
      <w:lvlJc w:val="left"/>
      <w:pPr>
        <w:ind w:left="2160" w:hanging="360"/>
      </w:pPr>
    </w:lvl>
    <w:lvl w:ilvl="3" w:tplc="A91E7B9A">
      <w:start w:val="1"/>
      <w:numFmt w:val="bullet"/>
      <w:lvlText w:val="●"/>
      <w:lvlJc w:val="left"/>
      <w:pPr>
        <w:ind w:left="2880" w:hanging="360"/>
      </w:pPr>
    </w:lvl>
    <w:lvl w:ilvl="4" w:tplc="412A452E">
      <w:start w:val="1"/>
      <w:numFmt w:val="bullet"/>
      <w:lvlText w:val="○"/>
      <w:lvlJc w:val="left"/>
      <w:pPr>
        <w:ind w:left="3600" w:hanging="360"/>
      </w:pPr>
    </w:lvl>
    <w:lvl w:ilvl="5" w:tplc="580EA8C0">
      <w:start w:val="1"/>
      <w:numFmt w:val="bullet"/>
      <w:lvlText w:val="■"/>
      <w:lvlJc w:val="left"/>
      <w:pPr>
        <w:ind w:left="4320" w:hanging="360"/>
      </w:pPr>
    </w:lvl>
    <w:lvl w:ilvl="6" w:tplc="6BECB932">
      <w:start w:val="1"/>
      <w:numFmt w:val="bullet"/>
      <w:lvlText w:val="●"/>
      <w:lvlJc w:val="left"/>
      <w:pPr>
        <w:ind w:left="5040" w:hanging="360"/>
      </w:pPr>
    </w:lvl>
    <w:lvl w:ilvl="7" w:tplc="398AEF02">
      <w:start w:val="1"/>
      <w:numFmt w:val="bullet"/>
      <w:lvlText w:val="●"/>
      <w:lvlJc w:val="left"/>
      <w:pPr>
        <w:ind w:left="5760" w:hanging="360"/>
      </w:pPr>
    </w:lvl>
    <w:lvl w:ilvl="8" w:tplc="E252F02C">
      <w:start w:val="1"/>
      <w:numFmt w:val="bullet"/>
      <w:lvlText w:val="●"/>
      <w:lvlJc w:val="left"/>
      <w:pPr>
        <w:ind w:left="6480" w:hanging="360"/>
      </w:pPr>
    </w:lvl>
  </w:abstractNum>
  <w:num w:numId="1" w16cid:durableId="56144783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7096"/>
    <w:rsid w:val="002A478F"/>
    <w:rsid w:val="00403141"/>
    <w:rsid w:val="00664944"/>
    <w:rsid w:val="009B504D"/>
    <w:rsid w:val="00C53666"/>
    <w:rsid w:val="00F07096"/>
    <w:rsid w:val="00F72323"/>
    <w:rsid w:val="00FF5F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1F1BFF"/>
  <w15:docId w15:val="{53620BCE-FE5B-BF4D-BA0D-283980719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Helvetica Neue" w:eastAsia="Helvetica Neue" w:hAnsi="Helvetica Neue" w:cs="Helvetica Neue"/>
        <w:color w:val="22303C"/>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1">
    <w:name w:val="p1"/>
    <w:basedOn w:val="Normal"/>
    <w:rsid w:val="00FF5F21"/>
    <w:pPr>
      <w:spacing w:before="100" w:beforeAutospacing="1" w:after="100" w:afterAutospacing="1"/>
    </w:pPr>
    <w:rPr>
      <w:rFonts w:ascii="Times New Roman" w:eastAsia="Times New Roman" w:hAnsi="Times New Roman" w:cs="Times New Roman"/>
      <w:color w:val="auto"/>
      <w:sz w:val="24"/>
      <w:szCs w:val="24"/>
    </w:rPr>
  </w:style>
  <w:style w:type="table" w:styleId="TableGrid">
    <w:name w:val="Table Grid"/>
    <w:basedOn w:val="TableNormal"/>
    <w:uiPriority w:val="39"/>
    <w:rsid w:val="002A47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ordanimatingyu34g11">
    <w:name w:val="_wordanimating_yu34g_11"/>
    <w:basedOn w:val="DefaultParagraphFont"/>
    <w:rsid w:val="002A478F"/>
  </w:style>
  <w:style w:type="character" w:styleId="Strong">
    <w:name w:val="Strong"/>
    <w:basedOn w:val="DefaultParagraphFont"/>
    <w:uiPriority w:val="22"/>
    <w:qFormat/>
    <w:rsid w:val="002A478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5</Pages>
  <Words>1176</Words>
  <Characters>7648</Characters>
  <Application>Microsoft Office Word</Application>
  <DocSecurity>0</DocSecurity>
  <Lines>588</Lines>
  <Paragraphs>630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Morgan Smith</cp:lastModifiedBy>
  <cp:revision>2</cp:revision>
  <dcterms:created xsi:type="dcterms:W3CDTF">2026-08-03T13:39:00Z</dcterms:created>
  <dcterms:modified xsi:type="dcterms:W3CDTF">2026-08-05T15:25:00Z</dcterms:modified>
</cp:coreProperties>
</file>