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2021-11-29</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parameters for the ones considered in this analysis. The prediction capabilities created by such models have the potential to dramatically improve comprehension of the key factors affecting financial disaster relief support.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w:t>
      </w:r>
      <w:r>
        <w:t xml:space="preserve"> </w:t>
      </w:r>
      <w:r>
        <w:t xml:space="preserve">(Moss, Schellhamer, &amp; Berman, 2009)</w:t>
      </w:r>
      <w:r>
        <w:t xml:space="preserve">.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w:t>
      </w:r>
      <w:r>
        <w:t xml:space="preserve"> </w:t>
      </w:r>
      <w:r>
        <w:t xml:space="preserve">(McCarthy, 2009)</w:t>
      </w:r>
      <w:r>
        <w:t xml:space="preserve">.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The funding process was further refined as part of the Sandy Recovery Improvement Act of 2013 as well as The Disaster Recovery Reform Act of 2019</w:t>
      </w:r>
      <w:r>
        <w:t xml:space="preserve"> </w:t>
      </w:r>
      <w:r>
        <w:t xml:space="preserve">(FEMA, 2021)</w:t>
      </w:r>
      <w:r>
        <w:t xml:space="preserve">.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this has improved the accessible information, little has been done to draw conclusions from these data for predicting the financial impacts of disasters.</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Modeling approaches that include machine learning algorithms have been demonstrated to have extensive prediction capability for large datasets. As such, this analysis will examine the use of machine learning models in predicting FEMA expenses for a federally-declared disaster. In particular, a decision tree, bagged tree, and random forest model will be used to predict requested and obligated FEMA funds.</w:t>
      </w:r>
    </w:p>
    <w:bookmarkStart w:id="21" w:name="disaster-declaration-process"/>
    <w:p>
      <w:pPr>
        <w:pStyle w:val="Heading2"/>
      </w:pPr>
      <w:r>
        <w:rPr>
          <w:rStyle w:val="SectionNumber"/>
        </w:rPr>
        <w:t xml:space="preserve">2.1</w:t>
      </w:r>
      <w:r>
        <w:tab/>
      </w:r>
      <w:r>
        <w:t xml:space="preserve">Disaster Declaration Process</w:t>
      </w:r>
    </w:p>
    <w:p>
      <w:pPr>
        <w:pStyle w:val="FirstParagraph"/>
      </w:pPr>
      <w:r>
        <w:t xml:space="preserve">When a disaster occurs, the onus for requesting assistance begins at the local government. The local officials must have enacted their own emergency operations plans and demonstrate the need for more resources than the local entities can provide. Once this threshold is crossed, the municipal or county leader submits a formal request to the state governor for assistance by requesting a state disaster declaration</w:t>
      </w:r>
      <w:r>
        <w:t xml:space="preserve"> </w:t>
      </w:r>
      <w:r>
        <w:t xml:space="preserve">(McCarthy, 2009)</w:t>
      </w:r>
      <w:r>
        <w:t xml:space="preserve">. If the governor approves such a request, state resources are mobilized to assist the affected area, but the local government is still the primary leading entity for the emergency management response. If the state has fully enacted their emergency response plans and further assistance is still required, the governor requests the state emergency management agency to conduct a state-level Preliminary Damage Assessment (PDA). These assessments aim to estimate the impact of the disaster on individuals, infrastructure, and government agencies</w:t>
      </w:r>
      <w:r>
        <w:t xml:space="preserve"> </w:t>
      </w:r>
      <w:r>
        <w:t xml:space="preserve">(Moss et al., 2009)</w:t>
      </w:r>
      <w:r>
        <w:t xml:space="preserve">. As federal resources are extraordinarily expensive, state governors utilize PDAs to ensure federal assistance is only requested when absolutely necessary. If the governor does decide that federal resources are required, a formal request is submitted by the governor’s office through the regional FEMA office. This request includes the PDA, barring a few exceptional circumstances for catastrophic events, and a list of requested federal resources, including the anticipated duration and cost of each resource</w:t>
      </w:r>
      <w:r>
        <w:t xml:space="preserve"> </w:t>
      </w:r>
      <w:r>
        <w:t xml:space="preserve">(Moss et al., 2009)</w:t>
      </w:r>
      <w:r>
        <w:t xml:space="preserve">. The regional FEMA office ensures the request is complete before sending it to a special declaration processing unit in FEMA headquarters, which further add to the request by incorporating detailed statistics about the region and their own assessment of needs and costs</w:t>
      </w:r>
      <w:r>
        <w:t xml:space="preserve"> </w:t>
      </w:r>
      <w:r>
        <w:t xml:space="preserve">(McCarthy, 2009)</w:t>
      </w:r>
      <w:r>
        <w:t xml:space="preserve">. The declaration processing unit then submits the request to the FEMA Administrator, who must make a recommendation for the President. The request and the recommendation are then submitted to the President, who ultimately decides whether or not to grant the declaration request. The President is not bound by the FEMA Administrator’s recommendation, and, in the event the President denies the request, the governor is permitted to submit an appeal based on further damage assessments</w:t>
      </w:r>
      <w:r>
        <w:t xml:space="preserve"> </w:t>
      </w:r>
      <w:r>
        <w:t xml:space="preserve">(Moss et al., 2009)</w:t>
      </w:r>
      <w:r>
        <w:t xml:space="preserve">. If the request is approved, FEMA becomes the primary agency to coordinate resource allocation and support the local response. The approval from the President also specifies which programs are authorized as well as the federal/state cost-sharing ratio</w:t>
      </w:r>
      <w:r>
        <w:t xml:space="preserve"> </w:t>
      </w:r>
      <w:r>
        <w:t xml:space="preserve">(FEMA, 2021)</w:t>
      </w:r>
      <w:r>
        <w:t xml:space="preserve">.</w:t>
      </w:r>
    </w:p>
    <w:bookmarkEnd w:id="21"/>
    <w:bookmarkStart w:id="22" w:name="machine-learning-models"/>
    <w:p>
      <w:pPr>
        <w:pStyle w:val="Heading2"/>
      </w:pPr>
      <w:r>
        <w:rPr>
          <w:rStyle w:val="SectionNumber"/>
        </w:rPr>
        <w:t xml:space="preserve">2.2</w:t>
      </w:r>
      <w:r>
        <w:tab/>
      </w:r>
      <w:r>
        <w:t xml:space="preserve">Machine Learning Models</w:t>
      </w:r>
    </w:p>
    <w:p>
      <w:pPr>
        <w:pStyle w:val="FirstParagraph"/>
      </w:pPr>
      <w:r>
        <w:t xml:space="preserve">There are numerous machine learning models that could be applied to the research question, but this analysis focuses primarily on three different types of tree models. This type of model was chosen as the primary users of the prediction algorithms are non-statisticians, and tree models are among the easiest machine learning models to interpret and understand</w:t>
      </w:r>
      <w:r>
        <w:t xml:space="preserve"> </w:t>
      </w:r>
      <w:r>
        <w:t xml:space="preserve">(James, Witten, Hastie, &amp; Tibshirani, 2021)</w:t>
      </w:r>
      <w:r>
        <w:t xml:space="preserve">.</w:t>
      </w:r>
    </w:p>
    <w:p>
      <w:pPr>
        <w:numPr>
          <w:ilvl w:val="0"/>
          <w:numId w:val="1001"/>
        </w:numPr>
      </w:pPr>
      <w:r>
        <w:t xml:space="preserve">Decision Tree (DT): Also known as a classification and regression tree (CART), the DT examines each predictor and splits the outcome at a value of the predictor that leads to the best performance increase in the model. The tree development continues until a certain threshold criteria is met, such as number of observations in each leaf of the tree. A DT model is often the most intuitive machine learning algorithm, but it also typically has a reduced performance compared to other models</w:t>
      </w:r>
      <w:r>
        <w:t xml:space="preserve"> </w:t>
      </w:r>
      <w:r>
        <w:t xml:space="preserve">(Boehmke &amp; Greenwell, 2019)</w:t>
      </w:r>
      <w:r>
        <w:t xml:space="preserve">.</w:t>
      </w:r>
    </w:p>
    <w:p>
      <w:pPr>
        <w:numPr>
          <w:ilvl w:val="0"/>
          <w:numId w:val="1001"/>
        </w:numPr>
      </w:pPr>
      <w:r>
        <w:t xml:space="preserve">Bagged Tree (BT): A slightly more sophisticated model, a BT aims to reduce the variance by re-sampling the existing data (otherwise known as bootstrapping) and builds a tree for each sample. The final model then averages all of the individually sampled trees. However, the reducing the variance in the model also reduces the ease of interpretation of the model</w:t>
      </w:r>
      <w:r>
        <w:t xml:space="preserve"> </w:t>
      </w:r>
      <w:r>
        <w:t xml:space="preserve">(Dietterich, n.d.)</w:t>
      </w:r>
      <w:r>
        <w:t xml:space="preserve">.</w:t>
      </w:r>
    </w:p>
    <w:p>
      <w:pPr>
        <w:numPr>
          <w:ilvl w:val="0"/>
          <w:numId w:val="1001"/>
        </w:numPr>
      </w:pPr>
      <w:r>
        <w:t xml:space="preserve">Random Forest (RF): A RF model follows similar principles to the BT, but instead of considering all possible predictors at each decision tree split, the split occurs based on the best predictors of a random sample of all predictors. This method allows for de-correlation in the trees by avoiding the default nature of decision trees that aim to include as many predictors as possible. Each individual tree is then averaged to find the final model. RF models are also more difficult to interpret than standard decision tree models</w:t>
      </w:r>
      <w:r>
        <w:t xml:space="preserve"> </w:t>
      </w:r>
      <w:r>
        <w:t xml:space="preserve">(Breiman, 2001)</w:t>
      </w:r>
      <w:r>
        <w:t xml:space="preserve">.</w:t>
      </w:r>
    </w:p>
    <w:bookmarkEnd w:id="22"/>
    <w:bookmarkEnd w:id="23"/>
    <w:bookmarkStart w:id="28" w:name="materials-and-methods"/>
    <w:p>
      <w:pPr>
        <w:pStyle w:val="Heading1"/>
      </w:pPr>
      <w:r>
        <w:rPr>
          <w:rStyle w:val="SectionNumber"/>
        </w:rPr>
        <w:t xml:space="preserve">3</w:t>
      </w:r>
      <w:r>
        <w:tab/>
      </w:r>
      <w:r>
        <w:t xml:space="preserve">Materials and Methods</w:t>
      </w:r>
    </w:p>
    <w:bookmarkStart w:id="24" w:name="data-and-processing"/>
    <w:p>
      <w:pPr>
        <w:pStyle w:val="Heading2"/>
      </w:pPr>
      <w:r>
        <w:rPr>
          <w:rStyle w:val="SectionNumber"/>
        </w:rPr>
        <w:t xml:space="preserve">3.1</w:t>
      </w:r>
      <w:r>
        <w:tab/>
      </w:r>
      <w:r>
        <w:t xml:space="preserve">Data and Processing</w:t>
      </w:r>
    </w:p>
    <w:p>
      <w:pPr>
        <w:pStyle w:val="FirstParagraph"/>
      </w:pPr>
      <w:r>
        <w:t xml:space="preserve">The data were obtained from the OpenFEMA Data Sets website</w:t>
      </w:r>
      <w:r>
        <w:t xml:space="preserve"> </w:t>
      </w:r>
      <w:r>
        <w:t xml:space="preserve">(</w:t>
      </w: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w:t>
      </w:r>
      <w:r>
        <w:t xml:space="preserve"> </w:t>
      </w:r>
      <w:r>
        <w:t xml:space="preserve">as well as the US Department of Agriculture Economic Research Service website</w:t>
      </w:r>
      <w:r>
        <w:t xml:space="preserve"> </w:t>
      </w:r>
      <w:r>
        <w:t xml:space="preserve">(</w:t>
      </w: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w:t>
      </w:r>
      <w:r>
        <w:t xml:space="preserve">. The mission assignments data was cleaned to represent the requested and obligated FEMA funds for each disaster declaration for each state or territory. Feature engineering was performed to create summary variables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w:t>
      </w:r>
    </w:p>
    <w:p>
      <w:pPr>
        <w:pStyle w:val="BodyText"/>
      </w:pPr>
      <w:r>
        <w:t xml:space="preserve">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Additionally, the relief provided to Puerto Rico in the aftermath of Hurricane Maria in 2017 was removed as an outlier, as it was more than $2 billion more than the next largest allocation of funding.</w:t>
      </w:r>
    </w:p>
    <w:bookmarkEnd w:id="24"/>
    <w:bookmarkStart w:id="25" w:name="model-development"/>
    <w:p>
      <w:pPr>
        <w:pStyle w:val="Heading2"/>
      </w:pPr>
      <w:r>
        <w:rPr>
          <w:rStyle w:val="SectionNumber"/>
        </w:rPr>
        <w:t xml:space="preserve">3.2</w:t>
      </w:r>
      <w:r>
        <w:tab/>
      </w:r>
      <w:r>
        <w:t xml:space="preserve">Model Development</w:t>
      </w:r>
    </w:p>
    <w:p>
      <w:pPr>
        <w:pStyle w:val="FirstParagraph"/>
      </w:pPr>
      <w:r>
        <w:t xml:space="preserve">Three models were considered for the prediction analysis: decision tree, bagged tree, and random forest, and each were fit for both outcomes of interest (e.g. requested and obligated funds).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Incident type was chosen as the stratification variable to address the fact that the frequency of incident types varies across FEMA regions.</w:t>
      </w:r>
    </w:p>
    <w:bookmarkEnd w:id="25"/>
    <w:bookmarkStart w:id="26" w:name="model-performance-evaluation"/>
    <w:p>
      <w:pPr>
        <w:pStyle w:val="Heading2"/>
      </w:pPr>
      <w:r>
        <w:rPr>
          <w:rStyle w:val="SectionNumber"/>
        </w:rPr>
        <w:t xml:space="preserve">3.3</w:t>
      </w:r>
      <w:r>
        <w:tab/>
      </w:r>
      <w:r>
        <w:t xml:space="preserve">Model Performance Evaluation</w:t>
      </w:r>
    </w:p>
    <w:p>
      <w:pPr>
        <w:pStyle w:val="FirstParagraph"/>
      </w:pPr>
      <w:r>
        <w:t xml:space="preserve">The standard metric for evaluating regression models is the root mean square error (RMSE), which is the square root of the mean of the square of all error. It is formally defined as:</w:t>
      </w:r>
    </w:p>
    <w:p>
      <w:pPr>
        <w:pStyle w:val="BodyText"/>
      </w:pPr>
      <m:oMathPara>
        <m:oMathParaPr>
          <m:jc m:val="center"/>
        </m:oMathParaPr>
        <m:oMath>
          <m:r>
            <m:t>R</m:t>
          </m:r>
          <m:r>
            <m:t>M</m:t>
          </m:r>
          <m:r>
            <m:t>S</m:t>
          </m:r>
          <m:r>
            <m:t>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S</m:t>
                              </m:r>
                            </m:e>
                            <m:sub>
                              <m:r>
                                <m:t>i</m:t>
                              </m:r>
                            </m:sub>
                          </m:sSub>
                          <m:r>
                            <m:rPr>
                              <m:sty m:val="p"/>
                            </m:rPr>
                            <m:t>−</m:t>
                          </m:r>
                          <m:sSub>
                            <m:e>
                              <m:r>
                                <m:t>O</m:t>
                              </m:r>
                            </m:e>
                            <m:sub>
                              <m:r>
                                <m:t>i</m:t>
                              </m:r>
                            </m:sub>
                          </m:sSub>
                        </m:e>
                      </m:d>
                    </m:e>
                    <m:sup>
                      <m:r>
                        <m:t>2</m:t>
                      </m:r>
                    </m:sup>
                  </m:sSup>
                </m:e>
              </m:nary>
            </m:e>
          </m:rad>
        </m:oMath>
      </m:oMathPara>
    </w:p>
    <w:p>
      <w:pPr>
        <w:pStyle w:val="FirstParagraph"/>
      </w:pPr>
      <w:r>
        <w:t xml:space="preserve">where O_i are the observations, S_i are the predicted values of the outcome, and n is the number of observations in the analysis. RMSE is scale dependent, but the lower the RMSE, the better the model performance.</w:t>
      </w:r>
    </w:p>
    <w:bookmarkEnd w:id="26"/>
    <w:bookmarkStart w:id="27" w:name="software"/>
    <w:p>
      <w:pPr>
        <w:pStyle w:val="Heading2"/>
      </w:pPr>
      <w:r>
        <w:rPr>
          <w:rStyle w:val="SectionNumber"/>
        </w:rPr>
        <w:t xml:space="preserve">3.4</w:t>
      </w:r>
      <w:r>
        <w:tab/>
      </w:r>
      <w:r>
        <w:t xml:space="preserve">Software</w:t>
      </w:r>
    </w:p>
    <w:p>
      <w:pPr>
        <w:pStyle w:val="FirstParagraph"/>
      </w:pPr>
      <w:r>
        <w:t xml:space="preserve">This analysis was conducted in Rstudio 4.1 on a Windows Server operating system</w:t>
      </w:r>
      <w:r>
        <w:t xml:space="preserve"> </w:t>
      </w:r>
      <w:r>
        <w:t xml:space="preserve">(Team, 2021)</w:t>
      </w:r>
      <w:r>
        <w:t xml:space="preserve">. The following R packages were utilized: here, tidyverse, skimr, lubridate, tidymodels, broom.mixed, rpart.plot, vip, glmnet, doParallel, ranger, and baguette. All processing and analysis code can be found in the supplementary materials.</w:t>
      </w:r>
    </w:p>
    <w:bookmarkEnd w:id="27"/>
    <w:bookmarkEnd w:id="28"/>
    <w:bookmarkStart w:id="33" w:name="results"/>
    <w:p>
      <w:pPr>
        <w:pStyle w:val="Heading1"/>
      </w:pPr>
      <w:r>
        <w:rPr>
          <w:rStyle w:val="SectionNumber"/>
        </w:rPr>
        <w:t xml:space="preserve">4</w:t>
      </w:r>
      <w:r>
        <w:tab/>
      </w:r>
      <w:r>
        <w:t xml:space="preserve">Results</w:t>
      </w:r>
    </w:p>
    <w:p>
      <w:pPr>
        <w:pStyle w:val="FirstParagraph"/>
      </w:pPr>
      <w:r>
        <w:t xml:space="preserve">A total of 446 disaster declarations were included in this analysis, ranging from February 2010 to November 2021. On average, $29,700,000 (SD = $219,000,000) were requested and obligated in FEMA funding, with requests ranging from -$855,000 to $4,390,000,000. All states and territories were represented in the analysis, and on average, the FEMA cost-share was 80.6% (SD = 35.4%). The year 2020 had more than double the average number of disaster declarations, which likely can be attributed to the COVID-19 pandemic. Further information about the distribution of the data can be found in the supplementary documentation.</w:t>
      </w:r>
    </w:p>
    <w:p>
      <w:pPr>
        <w:pStyle w:val="BodyText"/>
      </w:pPr>
      <w:r>
        <w:t xml:space="preserve">Three models were fit to predict requested and obligated FEMA funding in the event of a disaster declaration: decision tree, bagged tree, and random forest. Table</w:t>
      </w:r>
      <w:r>
        <w:t xml:space="preserve"> </w:t>
      </w:r>
      <w:r>
        <w:t xml:space="preserve">4.1</w:t>
      </w:r>
      <w:r>
        <w:t xml:space="preserve"> </w:t>
      </w:r>
      <w:r>
        <w:t xml:space="preserve">shows the model comparison for estimating requested FEMA funding, and Table</w:t>
      </w:r>
      <w:r>
        <w:t xml:space="preserve"> </w:t>
      </w:r>
      <w:r>
        <w:t xml:space="preserve">4.2</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4.1: ML model comparison for requested FEMA funding</w:t>
      </w:r>
    </w:p>
    <w:tbl>
      <w:tblPr>
        <w:tblStyle w:val="Table"/>
        <w:tblW w:type="auto" w:w="0"/>
        <w:tblLook w:firstRow="1" w:lastRow="0" w:firstColumn="0" w:lastColumn="0" w:noHBand="0" w:noVBand="0" w:val="0020"/>
        <w:tblCaption w:val="Table 4.1: ML model comparison for reques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45003235</w:t>
            </w:r>
          </w:p>
        </w:tc>
        <w:tc>
          <w:tcPr/>
          <w:p>
            <w:pPr>
              <w:pStyle w:val="Compact"/>
              <w:jc w:val="right"/>
            </w:pPr>
            <w:r>
              <w:t xml:space="preserve">5417663</w:t>
            </w:r>
          </w:p>
        </w:tc>
        <w:tc>
          <w:tcPr/>
          <w:p>
            <w:pPr>
              <w:pStyle w:val="Compact"/>
              <w:jc w:val="left"/>
            </w:pPr>
            <w:r>
              <w:t xml:space="preserve">Bagged Tree</w:t>
            </w:r>
          </w:p>
        </w:tc>
      </w:tr>
      <w:tr>
        <w:tc>
          <w:tcPr/>
          <w:p>
            <w:pPr>
              <w:pStyle w:val="Compact"/>
              <w:jc w:val="right"/>
            </w:pPr>
            <w:r>
              <w:t xml:space="preserve">49274359</w:t>
            </w:r>
          </w:p>
        </w:tc>
        <w:tc>
          <w:tcPr/>
          <w:p>
            <w:pPr>
              <w:pStyle w:val="Compact"/>
              <w:jc w:val="right"/>
            </w:pPr>
            <w:r>
              <w:t xml:space="preserve">4708050</w:t>
            </w:r>
          </w:p>
        </w:tc>
        <w:tc>
          <w:tcPr/>
          <w:p>
            <w:pPr>
              <w:pStyle w:val="Compact"/>
              <w:jc w:val="left"/>
            </w:pPr>
            <w:r>
              <w:t xml:space="preserve">RF</w:t>
            </w:r>
          </w:p>
        </w:tc>
      </w:tr>
      <w:tr>
        <w:tc>
          <w:tcPr/>
          <w:p>
            <w:pPr>
              <w:pStyle w:val="Compact"/>
              <w:jc w:val="right"/>
            </w:pPr>
            <w:r>
              <w:t xml:space="preserve">53108966</w:t>
            </w:r>
          </w:p>
        </w:tc>
        <w:tc>
          <w:tcPr/>
          <w:p>
            <w:pPr>
              <w:pStyle w:val="Compact"/>
              <w:jc w:val="right"/>
            </w:pPr>
            <w:r>
              <w:t xml:space="preserve">4339500</w:t>
            </w:r>
          </w:p>
        </w:tc>
        <w:tc>
          <w:tcPr/>
          <w:p>
            <w:pPr>
              <w:pStyle w:val="Compact"/>
              <w:jc w:val="left"/>
            </w:pPr>
            <w:r>
              <w:t xml:space="preserve">Tree</w:t>
            </w:r>
          </w:p>
        </w:tc>
      </w:tr>
      <w:tr>
        <w:tc>
          <w:tcPr/>
          <w:p>
            <w:pPr>
              <w:pStyle w:val="Compact"/>
              <w:jc w:val="right"/>
            </w:pPr>
            <w:r>
              <w:t xml:space="preserve">64278821</w:t>
            </w:r>
          </w:p>
        </w:tc>
        <w:tc>
          <w:tcPr/>
          <w:p>
            <w:pPr>
              <w:pStyle w:val="Compact"/>
              <w:jc w:val="right"/>
            </w:pPr>
            <w:r>
              <w:t xml:space="preserve">0</w:t>
            </w:r>
          </w:p>
        </w:tc>
        <w:tc>
          <w:tcPr/>
          <w:p>
            <w:pPr>
              <w:pStyle w:val="Compact"/>
              <w:jc w:val="left"/>
            </w:pPr>
            <w:r>
              <w:t xml:space="preserve">Null - Train</w:t>
            </w:r>
          </w:p>
        </w:tc>
      </w:tr>
    </w:tbl>
    <w:p/>
    <w:p>
      <w:pPr>
        <w:pStyle w:val="TableCaption"/>
      </w:pPr>
      <w:r>
        <w:t xml:space="preserve">Table 4.2: ML model comparison for obligated FEMA funding</w:t>
      </w:r>
    </w:p>
    <w:tbl>
      <w:tblPr>
        <w:tblStyle w:val="Table"/>
        <w:tblW w:type="auto" w:w="0"/>
        <w:tblLook w:firstRow="1" w:lastRow="0" w:firstColumn="0" w:lastColumn="0" w:noHBand="0" w:noVBand="0" w:val="0020"/>
        <w:tblCaption w:val="Table 4.2: ML model comparison for obligated FEMA funding"/>
      </w:tblPr>
      <w:tblGrid>
        <w:gridCol w:w="2640"/>
        <w:gridCol w:w="2640"/>
        <w:gridCol w:w="2640"/>
      </w:tblGrid>
      <w:tr>
        <w:trPr>
          <w:tblHeader w:val="true"/>
        </w:trPr>
        <w:tc>
          <w:tcPr/>
          <w:p>
            <w:pPr>
              <w:pStyle w:val="Compact"/>
              <w:jc w:val="right"/>
            </w:pPr>
            <w:r>
              <w:t xml:space="preserve">rmse</w:t>
            </w:r>
          </w:p>
        </w:tc>
        <w:tc>
          <w:tcPr/>
          <w:p>
            <w:pPr>
              <w:pStyle w:val="Compact"/>
              <w:jc w:val="right"/>
            </w:pPr>
            <w:r>
              <w:t xml:space="preserve">SE</w:t>
            </w:r>
          </w:p>
        </w:tc>
        <w:tc>
          <w:tcPr/>
          <w:p>
            <w:pPr>
              <w:pStyle w:val="Compact"/>
              <w:jc w:val="left"/>
            </w:pPr>
            <w:r>
              <w:t xml:space="preserve">model</w:t>
            </w:r>
          </w:p>
        </w:tc>
      </w:tr>
      <w:tr>
        <w:tc>
          <w:tcPr/>
          <w:p>
            <w:pPr>
              <w:pStyle w:val="Compact"/>
              <w:jc w:val="right"/>
            </w:pPr>
            <w:r>
              <w:t xml:space="preserve">44963346</w:t>
            </w:r>
          </w:p>
        </w:tc>
        <w:tc>
          <w:tcPr/>
          <w:p>
            <w:pPr>
              <w:pStyle w:val="Compact"/>
              <w:jc w:val="right"/>
            </w:pPr>
            <w:r>
              <w:t xml:space="preserve">5423209</w:t>
            </w:r>
          </w:p>
        </w:tc>
        <w:tc>
          <w:tcPr/>
          <w:p>
            <w:pPr>
              <w:pStyle w:val="Compact"/>
              <w:jc w:val="left"/>
            </w:pPr>
            <w:r>
              <w:t xml:space="preserve">Bagged Tree</w:t>
            </w:r>
          </w:p>
        </w:tc>
      </w:tr>
      <w:tr>
        <w:tc>
          <w:tcPr/>
          <w:p>
            <w:pPr>
              <w:pStyle w:val="Compact"/>
              <w:jc w:val="right"/>
            </w:pPr>
            <w:r>
              <w:t xml:space="preserve">49244359</w:t>
            </w:r>
          </w:p>
        </w:tc>
        <w:tc>
          <w:tcPr/>
          <w:p>
            <w:pPr>
              <w:pStyle w:val="Compact"/>
              <w:jc w:val="right"/>
            </w:pPr>
            <w:r>
              <w:t xml:space="preserve">4706033</w:t>
            </w:r>
          </w:p>
        </w:tc>
        <w:tc>
          <w:tcPr/>
          <w:p>
            <w:pPr>
              <w:pStyle w:val="Compact"/>
              <w:jc w:val="left"/>
            </w:pPr>
            <w:r>
              <w:t xml:space="preserve">RF</w:t>
            </w:r>
          </w:p>
        </w:tc>
      </w:tr>
      <w:tr>
        <w:tc>
          <w:tcPr/>
          <w:p>
            <w:pPr>
              <w:pStyle w:val="Compact"/>
              <w:jc w:val="right"/>
            </w:pPr>
            <w:r>
              <w:t xml:space="preserve">53092104</w:t>
            </w:r>
          </w:p>
        </w:tc>
        <w:tc>
          <w:tcPr/>
          <w:p>
            <w:pPr>
              <w:pStyle w:val="Compact"/>
              <w:jc w:val="right"/>
            </w:pPr>
            <w:r>
              <w:t xml:space="preserve">4338514</w:t>
            </w:r>
          </w:p>
        </w:tc>
        <w:tc>
          <w:tcPr/>
          <w:p>
            <w:pPr>
              <w:pStyle w:val="Compact"/>
              <w:jc w:val="left"/>
            </w:pPr>
            <w:r>
              <w:t xml:space="preserve">Tree</w:t>
            </w:r>
          </w:p>
        </w:tc>
      </w:tr>
      <w:tr>
        <w:tc>
          <w:tcPr/>
          <w:p>
            <w:pPr>
              <w:pStyle w:val="Compact"/>
              <w:jc w:val="right"/>
            </w:pPr>
            <w:r>
              <w:t xml:space="preserve">64289213</w:t>
            </w:r>
          </w:p>
        </w:tc>
        <w:tc>
          <w:tcPr/>
          <w:p>
            <w:pPr>
              <w:pStyle w:val="Compact"/>
              <w:jc w:val="right"/>
            </w:pPr>
            <w:r>
              <w:t xml:space="preserve">0</w:t>
            </w:r>
          </w:p>
        </w:tc>
        <w:tc>
          <w:tcPr/>
          <w:p>
            <w:pPr>
              <w:pStyle w:val="Compact"/>
              <w:jc w:val="left"/>
            </w:pPr>
            <w:r>
              <w:t xml:space="preserve">Null - Train</w:t>
            </w:r>
          </w:p>
        </w:tc>
      </w:tr>
    </w:tbl>
    <w:p>
      <w:pPr>
        <w:pStyle w:val="BodyText"/>
      </w:pPr>
      <w:r>
        <w:t xml:space="preserve">The bagged tree model was still chosen as the best model of the three, and it was fitted to the testing data sample. Figure</w:t>
      </w:r>
      <w:r>
        <w:t xml:space="preserve"> </w:t>
      </w:r>
      <w:r>
        <w:t xml:space="preserve">4.1</w:t>
      </w:r>
      <w:r>
        <w:t xml:space="preserve"> </w:t>
      </w:r>
      <w:r>
        <w:t xml:space="preserve">shows the identified most important variables in the bagged tree model for requested FEMA funds, and Figure</w:t>
      </w:r>
      <w:r>
        <w:t xml:space="preserve"> </w:t>
      </w:r>
      <w:r>
        <w:t xml:space="preserve">4.2</w:t>
      </w:r>
      <w:r>
        <w:t xml:space="preserve"> </w:t>
      </w:r>
      <w:r>
        <w:t xml:space="preserve">illustrates the identical principle but for obligated FEMA funds. In both models, total number of federal agencies involved, incident type, incident duration, state population, awardance of the individual / household assistance program, and FEMA region were identified as the most important predictors of FEMA funding.</w:t>
      </w:r>
    </w:p>
    <w:p>
      <w:pPr>
        <w:pStyle w:val="CaptionedFigure"/>
      </w:pPr>
      <w:r>
        <w:drawing>
          <wp:inline>
            <wp:extent cx="5334000" cy="3807460"/>
            <wp:effectExtent b="0" l="0" r="0" t="0"/>
            <wp:docPr descr="Figure 4.1: Most important variables to predict requested FEMA funds for the bagged tree fit" title="" id="1" name="Picture"/>
            <a:graphic>
              <a:graphicData uri="http://schemas.openxmlformats.org/drawingml/2006/picture">
                <pic:pic>
                  <pic:nvPicPr>
                    <pic:cNvPr descr="../../results/BT-IV-outlier.png" id="0" name="Picture"/>
                    <pic:cNvPicPr>
                      <a:picLocks noChangeArrowheads="1" noChangeAspect="1"/>
                    </pic:cNvPicPr>
                  </pic:nvPicPr>
                  <pic:blipFill>
                    <a:blip r:embed="rId2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 Most important variables to predict requested FEMA funds for the bagged tree fit</w:t>
      </w:r>
    </w:p>
    <w:p>
      <w:pPr>
        <w:pStyle w:val="CaptionedFigure"/>
      </w:pPr>
      <w:r>
        <w:drawing>
          <wp:inline>
            <wp:extent cx="5334000" cy="3807460"/>
            <wp:effectExtent b="0" l="0" r="0" t="0"/>
            <wp:docPr descr="Figure 4.2: Most important variables to predict obligated FEMA funds for the bagged tree fit" title="" id="1" name="Picture"/>
            <a:graphic>
              <a:graphicData uri="http://schemas.openxmlformats.org/drawingml/2006/picture">
                <pic:pic>
                  <pic:nvPicPr>
                    <pic:cNvPr descr="../../results/BT-IV-obl-outlier.png" id="0" name="Picture"/>
                    <pic:cNvPicPr>
                      <a:picLocks noChangeArrowheads="1" noChangeAspect="1"/>
                    </pic:cNvPicPr>
                  </pic:nvPicPr>
                  <pic:blipFill>
                    <a:blip r:embed="rId3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4.2: Most important variables to predict obligated FEMA funds for the bagged tree fit</w:t>
      </w:r>
    </w:p>
    <w:p>
      <w:pPr>
        <w:pStyle w:val="BodyText"/>
      </w:pPr>
      <w:r>
        <w:t xml:space="preserve">The RMSEs for the testing and training datasets were substantially different, with an RMSE of 45003235 for the training data and 69378994 for the testing data. Figure</w:t>
      </w:r>
      <w:r>
        <w:t xml:space="preserve"> </w:t>
      </w:r>
      <w:r>
        <w:t xml:space="preserve">??</w:t>
      </w:r>
      <w:r>
        <w:t xml:space="preserve"> </w:t>
      </w:r>
      <w:r>
        <w:t xml:space="preserve">shows the predicted and actual requested funds values, and Figure</w:t>
      </w:r>
      <w:r>
        <w:t xml:space="preserve"> </w:t>
      </w:r>
      <w:r>
        <w:t xml:space="preserve">??</w:t>
      </w:r>
      <w:r>
        <w:t xml:space="preserve"> </w:t>
      </w:r>
      <w:r>
        <w:t xml:space="preserve">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3"/>
    <w:bookmarkStart w:id="34" w:name="discussion"/>
    <w:p>
      <w:pPr>
        <w:pStyle w:val="Heading1"/>
      </w:pPr>
      <w:r>
        <w:rPr>
          <w:rStyle w:val="SectionNumber"/>
        </w:rPr>
        <w:t xml:space="preserve">5</w:t>
      </w:r>
      <w:r>
        <w:tab/>
      </w:r>
      <w:r>
        <w:t xml:space="preserve">Discussion</w:t>
      </w:r>
    </w:p>
    <w:p>
      <w:pPr>
        <w:pStyle w:val="FirstParagraph"/>
      </w:pPr>
      <w:r>
        <w:t xml:space="preserve">In order to identify the most important predictors of requested and obligated FEMA funding in the aftermath of a disaster, three machine learning algorithms were fit to FEMA’s disaster declaration data: decision tree, bagged tree, and random forest. Of the three models, the bagged tree model demonstrated the best performance with the lowest RMSE, the identified metric of evaluation. The bagged tree model identified total number of federal agencies involved, incident type, incident duration, state population, awardance of individual / household assistance program, and FEMA region. These variables are relatively expected, as the each of them plays a critical role in FEMA’s decision of how much funding to award a state. However, it is interesting the state population is identified as such a critical predictor; it suggests that the number of individuals affected by a disaster plays a crucial role in the President’s decision to provide assistance.</w:t>
      </w:r>
    </w:p>
    <w:p>
      <w:pPr>
        <w:pStyle w:val="BodyText"/>
      </w:pPr>
      <w:r>
        <w:t xml:space="preserve">While this model does take a measured step towards identifying predictors for FEMA funding, there are a number of limitations to the study. First and foremost, the limited data available about disaster declarations leaves a number of important variables out of the analysis. Aspects such as the number of casualties or damage to critical infrastructure inevitably changes the amount of federal government assistance. However, no such data widely exists for casualties by federal disaster declaration. Moreover, the materials included in the recommendation to the President, such as the PDA, are protected by executive privilege and are therefore unavailable to the public. In order to improve the meaningful nature of these prediction models, such information should be incorporated.</w:t>
      </w:r>
    </w:p>
    <w:p>
      <w:pPr>
        <w:pStyle w:val="BodyText"/>
      </w:pPr>
      <w:r>
        <w:t xml:space="preserve">The distribution of federal government funding also provides a limitation to this analysis. The range is extensive, and exploratory results suggest the data follow a logarithmic curve rather than a linear increase. However, as there are disasters where the federal government does not provide any funding, so the state is responsible for covering the cost of federal resources. In these instances, the requested and obligated FEMA funding is reported as a negative cost, which cannot be log-transformed. Future analyses could divide the data into two analyses: one that addresses disasters where the federal government does provide cost-sharing support, and one that addresses disasters where the state provides all funding.</w:t>
      </w:r>
    </w:p>
    <w:p>
      <w:pPr>
        <w:pStyle w:val="BodyText"/>
      </w:pPr>
      <w:r>
        <w:t xml:space="preserve">Ultimately, this analysis is the first of its kind to apply prediction algorithms to federal funding for disaster declarations in the United States. It demonstrates the clear potential of such modeling capabilities not only to allow local and state emergency managers to predict which aspects of a PDA are critical in obtaining financial federal relief, but also to allow the regional FEMA offices to identify such predictors while developing the formal requests. Continued research in this area will support emergency managers of all levels in predicting financial disaster relief support.</w:t>
      </w:r>
    </w:p>
    <w:bookmarkEnd w:id="34"/>
    <w:bookmarkStart w:id="52" w:name="references"/>
    <w:p>
      <w:pPr>
        <w:pStyle w:val="Heading1"/>
      </w:pPr>
      <w:r>
        <w:t xml:space="preserve">References</w:t>
      </w:r>
    </w:p>
    <w:bookmarkStart w:id="51" w:name="refs"/>
    <w:bookmarkStart w:id="36" w:name="ref-boehmke_hands-machine_2019"/>
    <w:p>
      <w:pPr>
        <w:pStyle w:val="Bibliography"/>
      </w:pPr>
      <w:r>
        <w:t xml:space="preserve">Boehmke, B., &amp; Greenwell, B. M. (2019).</w:t>
      </w:r>
      <w:r>
        <w:t xml:space="preserve"> </w:t>
      </w:r>
      <w:r>
        <w:rPr>
          <w:iCs/>
          <w:i/>
        </w:rPr>
        <w:t xml:space="preserve">Hands-</w:t>
      </w:r>
      <w:r>
        <w:rPr>
          <w:iCs/>
          <w:i/>
        </w:rPr>
        <w:t xml:space="preserve">On</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35">
        <w:r>
          <w:rPr>
            <w:rStyle w:val="Hyperlink"/>
          </w:rPr>
          <w:t xml:space="preserve">https://www.routledge.com/Hands-On-Machine-Learning-with-R/Boehmke-Greenwell/p/book/9781138495685</w:t>
        </w:r>
      </w:hyperlink>
    </w:p>
    <w:bookmarkEnd w:id="36"/>
    <w:bookmarkStart w:id="38" w:name="ref-breiman_random_2001"/>
    <w:p>
      <w:pPr>
        <w:pStyle w:val="Bibliography"/>
      </w:pPr>
      <w:r>
        <w:t xml:space="preserve">Breiman, L. (2001). Random</w:t>
      </w:r>
      <w:r>
        <w:t xml:space="preserve"> </w:t>
      </w:r>
      <w:r>
        <w:t xml:space="preserve">Forests</w:t>
      </w:r>
      <w:r>
        <w:t xml:space="preserve">.</w:t>
      </w:r>
      <w:r>
        <w:t xml:space="preserve"> </w:t>
      </w:r>
      <w:r>
        <w:rPr>
          <w:iCs/>
          <w:i/>
        </w:rPr>
        <w:t xml:space="preserve">Machine Learning</w:t>
      </w:r>
      <w:r>
        <w:t xml:space="preserve">,</w:t>
      </w:r>
      <w:r>
        <w:t xml:space="preserve"> </w:t>
      </w:r>
      <w:r>
        <w:rPr>
          <w:iCs/>
          <w:i/>
        </w:rPr>
        <w:t xml:space="preserve">45</w:t>
      </w:r>
      <w:r>
        <w:t xml:space="preserve">(1), 5–32.</w:t>
      </w:r>
      <w:r>
        <w:t xml:space="preserve"> </w:t>
      </w:r>
      <w:hyperlink r:id="rId37">
        <w:r>
          <w:rPr>
            <w:rStyle w:val="Hyperlink"/>
          </w:rPr>
          <w:t xml:space="preserve">https://doi.org/10.1023/A:1010933404324</w:t>
        </w:r>
      </w:hyperlink>
    </w:p>
    <w:bookmarkEnd w:id="38"/>
    <w:bookmarkStart w:id="39" w:name="ref-dietterich_experimental_nodate"/>
    <w:p>
      <w:pPr>
        <w:pStyle w:val="Bibliography"/>
      </w:pPr>
      <w:r>
        <w:t xml:space="preserve">Dietterich, T. G. (n.d.).</w:t>
      </w:r>
      <w:r>
        <w:t xml:space="preserve"> </w:t>
      </w:r>
      <w:r>
        <w:rPr>
          <w:iCs/>
          <w:i/>
        </w:rPr>
        <w:t xml:space="preserve">An</w:t>
      </w:r>
      <w:r>
        <w:rPr>
          <w:iCs/>
          <w:i/>
        </w:rPr>
        <w:t xml:space="preserve"> </w:t>
      </w:r>
      <w:r>
        <w:rPr>
          <w:iCs/>
          <w:i/>
        </w:rPr>
        <w:t xml:space="preserve">Experimental</w:t>
      </w:r>
      <w:r>
        <w:rPr>
          <w:iCs/>
          <w:i/>
        </w:rPr>
        <w:t xml:space="preserve"> </w:t>
      </w:r>
      <w:r>
        <w:rPr>
          <w:iCs/>
          <w:i/>
        </w:rPr>
        <w:t xml:space="preserve">Comparison</w:t>
      </w:r>
      <w:r>
        <w:rPr>
          <w:iCs/>
          <w:i/>
        </w:rPr>
        <w:t xml:space="preserve"> </w:t>
      </w:r>
      <w:r>
        <w:rPr>
          <w:iCs/>
          <w:i/>
        </w:rPr>
        <w:t xml:space="preserve">of</w:t>
      </w:r>
      <w:r>
        <w:rPr>
          <w:iCs/>
          <w:i/>
        </w:rPr>
        <w:t xml:space="preserve"> </w:t>
      </w:r>
      <w:r>
        <w:rPr>
          <w:iCs/>
          <w:i/>
        </w:rPr>
        <w:t xml:space="preserve">Three</w:t>
      </w:r>
      <w:r>
        <w:rPr>
          <w:iCs/>
          <w:i/>
        </w:rPr>
        <w:t xml:space="preserve"> </w:t>
      </w:r>
      <w:r>
        <w:rPr>
          <w:iCs/>
          <w:i/>
        </w:rPr>
        <w:t xml:space="preserve">Methods</w:t>
      </w:r>
      <w:r>
        <w:rPr>
          <w:iCs/>
          <w:i/>
        </w:rPr>
        <w:t xml:space="preserve"> </w:t>
      </w:r>
      <w:r>
        <w:rPr>
          <w:iCs/>
          <w:i/>
        </w:rPr>
        <w:t xml:space="preserve">for</w:t>
      </w:r>
      <w:r>
        <w:rPr>
          <w:iCs/>
          <w:i/>
        </w:rPr>
        <w:t xml:space="preserve"> </w:t>
      </w:r>
      <w:r>
        <w:rPr>
          <w:iCs/>
          <w:i/>
        </w:rPr>
        <w:t xml:space="preserve">Constructing</w:t>
      </w:r>
      <w:r>
        <w:rPr>
          <w:iCs/>
          <w:i/>
        </w:rPr>
        <w:t xml:space="preserve"> </w:t>
      </w:r>
      <w:r>
        <w:rPr>
          <w:iCs/>
          <w:i/>
        </w:rPr>
        <w:t xml:space="preserve">Ensembles</w:t>
      </w:r>
      <w:r>
        <w:rPr>
          <w:iCs/>
          <w:i/>
        </w:rPr>
        <w:t xml:space="preserve"> </w:t>
      </w:r>
      <w:r>
        <w:rPr>
          <w:iCs/>
          <w:i/>
        </w:rPr>
        <w:t xml:space="preserve">of</w:t>
      </w:r>
      <w:r>
        <w:rPr>
          <w:iCs/>
          <w:i/>
        </w:rPr>
        <w:t xml:space="preserve"> </w:t>
      </w:r>
      <w:r>
        <w:rPr>
          <w:iCs/>
          <w:i/>
        </w:rPr>
        <w:t xml:space="preserve">Decision</w:t>
      </w:r>
      <w:r>
        <w:rPr>
          <w:iCs/>
          <w:i/>
        </w:rPr>
        <w:t xml:space="preserve"> </w:t>
      </w:r>
      <w:r>
        <w:rPr>
          <w:iCs/>
          <w:i/>
        </w:rPr>
        <w:t xml:space="preserve">Trees</w:t>
      </w:r>
      <w:r>
        <w:rPr>
          <w:iCs/>
          <w:i/>
        </w:rPr>
        <w:t xml:space="preserve">:</w:t>
      </w:r>
      <w:r>
        <w:rPr>
          <w:iCs/>
          <w:i/>
        </w:rPr>
        <w:t xml:space="preserve"> </w:t>
      </w:r>
      <w:r>
        <w:rPr>
          <w:iCs/>
          <w:i/>
        </w:rPr>
        <w:t xml:space="preserve">Bagging</w:t>
      </w:r>
      <w:r>
        <w:rPr>
          <w:iCs/>
          <w:i/>
        </w:rPr>
        <w:t xml:space="preserve">,</w:t>
      </w:r>
      <w:r>
        <w:rPr>
          <w:iCs/>
          <w:i/>
        </w:rPr>
        <w:t xml:space="preserve"> </w:t>
      </w:r>
      <w:r>
        <w:rPr>
          <w:iCs/>
          <w:i/>
        </w:rPr>
        <w:t xml:space="preserve">Boosting</w:t>
      </w:r>
      <w:r>
        <w:rPr>
          <w:iCs/>
          <w:i/>
        </w:rPr>
        <w:t xml:space="preserve">, and</w:t>
      </w:r>
      <w:r>
        <w:rPr>
          <w:iCs/>
          <w:i/>
        </w:rPr>
        <w:t xml:space="preserve"> </w:t>
      </w:r>
      <w:r>
        <w:rPr>
          <w:iCs/>
          <w:i/>
        </w:rPr>
        <w:t xml:space="preserve">Randomization</w:t>
      </w:r>
      <w:r>
        <w:t xml:space="preserve">. 22.</w:t>
      </w:r>
    </w:p>
    <w:bookmarkEnd w:id="39"/>
    <w:bookmarkStart w:id="41" w:name="ref-fema_guide_2021"/>
    <w:p>
      <w:pPr>
        <w:pStyle w:val="Bibliography"/>
      </w:pPr>
      <w:r>
        <w:t xml:space="preserve">FEMA. (2021).</w:t>
      </w:r>
      <w:r>
        <w:t xml:space="preserve"> </w:t>
      </w:r>
      <w:r>
        <w:rPr>
          <w:iCs/>
          <w:i/>
        </w:rPr>
        <w:t xml:space="preserve">A</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 </w:t>
      </w:r>
      <w:r>
        <w:rPr>
          <w:iCs/>
          <w:i/>
        </w:rPr>
        <w:t xml:space="preserve">and</w:t>
      </w:r>
      <w:r>
        <w:rPr>
          <w:iCs/>
          <w:i/>
        </w:rPr>
        <w:t xml:space="preserve"> </w:t>
      </w:r>
      <w:r>
        <w:rPr>
          <w:iCs/>
          <w:i/>
        </w:rPr>
        <w:t xml:space="preserve">Federal</w:t>
      </w:r>
      <w:r>
        <w:rPr>
          <w:iCs/>
          <w:i/>
        </w:rPr>
        <w:t xml:space="preserve"> </w:t>
      </w:r>
      <w:r>
        <w:rPr>
          <w:iCs/>
          <w:i/>
        </w:rPr>
        <w:t xml:space="preserve">Disaster</w:t>
      </w:r>
      <w:r>
        <w:rPr>
          <w:iCs/>
          <w:i/>
        </w:rPr>
        <w:t xml:space="preserve"> </w:t>
      </w:r>
      <w:r>
        <w:rPr>
          <w:iCs/>
          <w:i/>
        </w:rPr>
        <w:t xml:space="preserve">Assistance</w:t>
      </w:r>
      <w:r>
        <w:t xml:space="preserve">. Retrieved from</w:t>
      </w:r>
      <w:r>
        <w:t xml:space="preserve"> </w:t>
      </w:r>
      <w:hyperlink r:id="rId40">
        <w:r>
          <w:rPr>
            <w:rStyle w:val="Hyperlink"/>
          </w:rPr>
          <w:t xml:space="preserve">https://www.fema.gov/pdf/rrr/dec_proc.pdf</w:t>
        </w:r>
      </w:hyperlink>
    </w:p>
    <w:bookmarkEnd w:id="41"/>
    <w:bookmarkStart w:id="42" w:name="ref-james_introduction_2021"/>
    <w:p>
      <w:pPr>
        <w:pStyle w:val="Bibliography"/>
      </w:pPr>
      <w:r>
        <w:t xml:space="preserve">James, G., Witten, D., Hastie, T., &amp; Tibshirani, R. (2021).</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w:t>
      </w:r>
      <w:r>
        <w:t xml:space="preserve">(2nd ed.). Springer.</w:t>
      </w:r>
    </w:p>
    <w:bookmarkEnd w:id="42"/>
    <w:bookmarkStart w:id="43" w:name="ref-mccarthy_femas_2009"/>
    <w:p>
      <w:pPr>
        <w:pStyle w:val="Bibliography"/>
      </w:pPr>
      <w:r>
        <w:t xml:space="preserve">McCarthy, F. X. (2009).</w:t>
      </w:r>
      <w:r>
        <w:t xml:space="preserve"> </w:t>
      </w:r>
      <w:r>
        <w:rPr>
          <w:iCs/>
          <w:i/>
        </w:rPr>
        <w:t xml:space="preserve">FEMA</w:t>
      </w:r>
      <w:r>
        <w:rPr>
          <w:iCs/>
          <w:i/>
        </w:rPr>
        <w:t xml:space="preserve">’s</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w:t>
      </w:r>
      <w:r>
        <w:rPr>
          <w:iCs/>
          <w:i/>
        </w:rPr>
        <w:t xml:space="preserve"> </w:t>
      </w:r>
      <w:r>
        <w:rPr>
          <w:iCs/>
          <w:i/>
        </w:rPr>
        <w:t xml:space="preserve">A</w:t>
      </w:r>
      <w:r>
        <w:rPr>
          <w:iCs/>
          <w:i/>
        </w:rPr>
        <w:t xml:space="preserve"> </w:t>
      </w:r>
      <w:r>
        <w:rPr>
          <w:iCs/>
          <w:i/>
        </w:rPr>
        <w:t xml:space="preserve">Primer</w:t>
      </w:r>
      <w:r>
        <w:t xml:space="preserve">. DIANE Publishing Company.</w:t>
      </w:r>
    </w:p>
    <w:bookmarkEnd w:id="43"/>
    <w:bookmarkStart w:id="44" w:name="ref-moss_stafford_2009"/>
    <w:p>
      <w:pPr>
        <w:pStyle w:val="Bibliography"/>
      </w:pPr>
      <w:r>
        <w:t xml:space="preserve">Moss, M., Schellhamer, C., &amp; Berman, D. A. (2009). The</w:t>
      </w:r>
      <w:r>
        <w:t xml:space="preserve"> </w:t>
      </w:r>
      <w:r>
        <w:t xml:space="preserve">Stafford</w:t>
      </w:r>
      <w:r>
        <w:t xml:space="preserve"> </w:t>
      </w:r>
      <w:r>
        <w:t xml:space="preserve">Act</w:t>
      </w:r>
      <w:r>
        <w:t xml:space="preserve"> </w:t>
      </w:r>
      <w:r>
        <w:t xml:space="preserve">and</w:t>
      </w:r>
      <w:r>
        <w:t xml:space="preserve"> </w:t>
      </w:r>
      <w:r>
        <w:t xml:space="preserve">Priorities</w:t>
      </w:r>
      <w:r>
        <w:t xml:space="preserve"> </w:t>
      </w:r>
      <w:r>
        <w:t xml:space="preserve">for</w:t>
      </w:r>
      <w:r>
        <w:t xml:space="preserve"> </w:t>
      </w:r>
      <w:r>
        <w:t xml:space="preserve">Reform</w:t>
      </w:r>
      <w:r>
        <w:t xml:space="preserve">.</w:t>
      </w:r>
      <w:r>
        <w:t xml:space="preserve"> </w:t>
      </w:r>
      <w:r>
        <w:rPr>
          <w:iCs/>
          <w:i/>
        </w:rPr>
        <w:t xml:space="preserve">Journal of Homeland Security and Emergency Management</w:t>
      </w:r>
      <w:r>
        <w:t xml:space="preserve">,</w:t>
      </w:r>
      <w:r>
        <w:t xml:space="preserve"> </w:t>
      </w:r>
      <w:r>
        <w:rPr>
          <w:iCs/>
          <w:i/>
        </w:rPr>
        <w:t xml:space="preserve">6</w:t>
      </w:r>
      <w:r>
        <w:t xml:space="preserve">(1), 1–21.</w:t>
      </w:r>
    </w:p>
    <w:bookmarkEnd w:id="44"/>
    <w:bookmarkStart w:id="46" w:name="ref-noauthor_openfema_nodate"/>
    <w:p>
      <w:pPr>
        <w:pStyle w:val="Bibliography"/>
      </w:pP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 Retrieved from</w:t>
      </w:r>
      <w:r>
        <w:t xml:space="preserve"> </w:t>
      </w:r>
      <w:hyperlink r:id="rId45">
        <w:r>
          <w:rPr>
            <w:rStyle w:val="Hyperlink"/>
          </w:rPr>
          <w:t xml:space="preserve">https://www.fema.gov/about/openfema/data-sets</w:t>
        </w:r>
      </w:hyperlink>
    </w:p>
    <w:bookmarkEnd w:id="46"/>
    <w:bookmarkStart w:id="48" w:name="ref-r_core_team_r_2021"/>
    <w:p>
      <w:pPr>
        <w:pStyle w:val="Bibliography"/>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Retrieved from</w:t>
      </w:r>
      <w:r>
        <w:t xml:space="preserve"> </w:t>
      </w:r>
      <w:hyperlink r:id="rId47">
        <w:r>
          <w:rPr>
            <w:rStyle w:val="Hyperlink"/>
          </w:rPr>
          <w:t xml:space="preserve">https://www.R-project.org/</w:t>
        </w:r>
      </w:hyperlink>
    </w:p>
    <w:bookmarkEnd w:id="48"/>
    <w:bookmarkStart w:id="50" w:name="ref-noauthor_usda_nodate"/>
    <w:p>
      <w:pPr>
        <w:pStyle w:val="Bibliography"/>
      </w:pP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 Retrieved from</w:t>
      </w:r>
      <w:r>
        <w:t xml:space="preserve"> </w:t>
      </w:r>
      <w:hyperlink r:id="rId49">
        <w:r>
          <w:rPr>
            <w:rStyle w:val="Hyperlink"/>
          </w:rPr>
          <w:t xml:space="preserve">https://www.ers.usda.gov/data-products/county-level-data-sets/</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37" Target="https://doi.org/10.1023/A:1010933404324" TargetMode="External" /><Relationship Type="http://schemas.openxmlformats.org/officeDocument/2006/relationships/hyperlink" Id="rId47" Target="https://www.R-project.org/" TargetMode="External" /><Relationship Type="http://schemas.openxmlformats.org/officeDocument/2006/relationships/hyperlink" Id="rId49" Target="https://www.ers.usda.gov/data-products/county-level-data-sets/" TargetMode="External" /><Relationship Type="http://schemas.openxmlformats.org/officeDocument/2006/relationships/hyperlink" Id="rId45" Target="https://www.fema.gov/about/openfema/data-sets" TargetMode="External" /><Relationship Type="http://schemas.openxmlformats.org/officeDocument/2006/relationships/hyperlink" Id="rId40" Target="https://www.fema.gov/pdf/rrr/dec_proc.pdf" TargetMode="External" /><Relationship Type="http://schemas.openxmlformats.org/officeDocument/2006/relationships/hyperlink" Id="rId35" Target="https://www.routledge.com/Hands-On-Machine-Learning-with-R/Boehmke-Greenwell/p/book/978113849568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23/A:1010933404324" TargetMode="External" /><Relationship Type="http://schemas.openxmlformats.org/officeDocument/2006/relationships/hyperlink" Id="rId47" Target="https://www.R-project.org/" TargetMode="External" /><Relationship Type="http://schemas.openxmlformats.org/officeDocument/2006/relationships/hyperlink" Id="rId49" Target="https://www.ers.usda.gov/data-products/county-level-data-sets/" TargetMode="External" /><Relationship Type="http://schemas.openxmlformats.org/officeDocument/2006/relationships/hyperlink" Id="rId45" Target="https://www.fema.gov/about/openfema/data-sets" TargetMode="External" /><Relationship Type="http://schemas.openxmlformats.org/officeDocument/2006/relationships/hyperlink" Id="rId40" Target="https://www.fema.gov/pdf/rrr/dec_proc.pdf" TargetMode="External" /><Relationship Type="http://schemas.openxmlformats.org/officeDocument/2006/relationships/hyperlink" Id="rId35" Target="https://www.routledge.com/Hands-On-Machine-Learning-with-R/Boehmke-Greenwell/p/book/97811384956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2021-11-29T15:00:53Z</dcterms:created>
  <dcterms:modified xsi:type="dcterms:W3CDTF">2021-11-29T15:00:53Z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