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1.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Examining</w:t>
      </w:r>
      <w:r>
        <w:t xml:space="preserve"> </w:t>
      </w:r>
      <w:r>
        <w:t xml:space="preserve">the</w:t>
      </w:r>
      <w:r>
        <w:t xml:space="preserve"> </w:t>
      </w:r>
      <w:r>
        <w:t xml:space="preserve">Fallout</w:t>
      </w:r>
      <w:r>
        <w:t xml:space="preserve"> </w:t>
      </w:r>
      <w:r>
        <w:t xml:space="preserve">Radioactivity</w:t>
      </w:r>
      <w:r>
        <w:t xml:space="preserve"> </w:t>
      </w:r>
      <w:r>
        <w:t xml:space="preserve">Across</w:t>
      </w:r>
      <w:r>
        <w:t xml:space="preserve"> </w:t>
      </w:r>
      <w:r>
        <w:t xml:space="preserve">Europe</w:t>
      </w:r>
      <w:r>
        <w:t xml:space="preserve"> </w:t>
      </w:r>
      <w:r>
        <w:t xml:space="preserve">After</w:t>
      </w:r>
      <w:r>
        <w:t xml:space="preserve"> </w:t>
      </w:r>
      <w:r>
        <w:t xml:space="preserve">the</w:t>
      </w:r>
      <w:r>
        <w:t xml:space="preserve"> </w:t>
      </w:r>
      <w:r>
        <w:t xml:space="preserve">Chernobyl</w:t>
      </w:r>
      <w:r>
        <w:t xml:space="preserve"> </w:t>
      </w:r>
      <w:r>
        <w:t xml:space="preserve">Meltdown</w:t>
      </w:r>
    </w:p>
    <w:p>
      <w:pPr>
        <w:pStyle w:val="Author"/>
      </w:pPr>
      <w:r>
        <w:t xml:space="preserve">Morgan</w:t>
      </w:r>
      <w:r>
        <w:t xml:space="preserve"> </w:t>
      </w:r>
      <w:r>
        <w:t xml:space="preserve">Taylor</w:t>
      </w:r>
    </w:p>
    <w:p>
      <w:pPr>
        <w:pStyle w:val="Date"/>
      </w:pPr>
      <w:r>
        <w:t xml:space="preserve">2021-10-29</w:t>
      </w:r>
    </w:p>
    <w:bookmarkStart w:id="20" w:name="summaryabstract"/>
    <w:p>
      <w:pPr>
        <w:pStyle w:val="Heading1"/>
      </w:pPr>
      <w:r>
        <w:rPr>
          <w:rStyle w:val="SectionNumber"/>
        </w:rPr>
        <w:t xml:space="preserve">1</w:t>
      </w:r>
      <w:r>
        <w:tab/>
      </w:r>
      <w:r>
        <w:t xml:space="preserve">Summary/Abstract</w:t>
      </w:r>
    </w:p>
    <w:p>
      <w:pPr>
        <w:pStyle w:val="FirstParagraph"/>
      </w:pPr>
      <w:r>
        <w:rPr>
          <w:iCs/>
          <w:i/>
        </w:rPr>
        <w:t xml:space="preserve">Write a summary of your project.</w:t>
      </w:r>
    </w:p>
    <w:bookmarkEnd w:id="20"/>
    <w:bookmarkStart w:id="25" w:name="introduction"/>
    <w:p>
      <w:pPr>
        <w:pStyle w:val="Heading1"/>
      </w:pPr>
      <w:r>
        <w:rPr>
          <w:rStyle w:val="SectionNumber"/>
        </w:rPr>
        <w:t xml:space="preserve">2</w:t>
      </w:r>
      <w:r>
        <w:tab/>
      </w:r>
      <w:r>
        <w:t xml:space="preserve">Introduction</w:t>
      </w:r>
    </w:p>
    <w:bookmarkStart w:id="21" w:name="general-background-information"/>
    <w:p>
      <w:pPr>
        <w:pStyle w:val="Heading2"/>
      </w:pPr>
      <w:r>
        <w:rPr>
          <w:rStyle w:val="SectionNumber"/>
        </w:rPr>
        <w:t xml:space="preserve">2.1</w:t>
      </w:r>
      <w:r>
        <w:tab/>
      </w:r>
      <w:r>
        <w:t xml:space="preserve">General Background Information</w:t>
      </w:r>
    </w:p>
    <w:p>
      <w:pPr>
        <w:pStyle w:val="FirstParagraph"/>
      </w:pPr>
      <w:r>
        <w:rPr>
          <w:iCs/>
          <w:i/>
        </w:rPr>
        <w:t xml:space="preserve">Provide enough background on your topic that others can understand the why and how of your analysis</w:t>
      </w:r>
      <w:r>
        <w:t xml:space="preserve"> </w:t>
      </w:r>
      <w:r>
        <w:t xml:space="preserve">On April 26, 1989, a power failure at the number 4 reactor at the Chernobyl Nuclear Power Plant in the Soviet Union caused the worst nuclear disaster in history, resulting in an estimated $68 billion (adjusted for inflation) of damages. Due to the unprecedented nature of the event and the delay in notification of the general public, many questions still remain regarding the concentration and distribution of fallout radiation across several countries. As the controversy surrounding the true impact of the event remains even more than thirty years later, this study aims to better understand the distribution of the different radioisotopes from a nuclear reactor meltdown.</w:t>
      </w:r>
    </w:p>
    <w:bookmarkEnd w:id="21"/>
    <w:bookmarkStart w:id="23" w:name="description-of-data-and-data-source"/>
    <w:p>
      <w:pPr>
        <w:pStyle w:val="Heading2"/>
      </w:pPr>
      <w:r>
        <w:rPr>
          <w:rStyle w:val="SectionNumber"/>
        </w:rPr>
        <w:t xml:space="preserve">2.2</w:t>
      </w:r>
      <w:r>
        <w:tab/>
      </w:r>
      <w:r>
        <w:t xml:space="preserve">Description of data and data source</w:t>
      </w:r>
    </w:p>
    <w:p>
      <w:pPr>
        <w:pStyle w:val="FirstParagraph"/>
      </w:pPr>
      <w:r>
        <w:rPr>
          <w:iCs/>
          <w:i/>
        </w:rPr>
        <w:t xml:space="preserve">Describe what the data is, what it contains, where it is from, etc. Eventually this might be part of a methods section.</w:t>
      </w:r>
      <w:r>
        <w:t xml:space="preserve"> </w:t>
      </w:r>
      <w:r>
        <w:t xml:space="preserve">A publicly available dataset identifying sampling locations from across several European countries can be accessed</w:t>
      </w:r>
      <w:r>
        <w:t xml:space="preserve"> </w:t>
      </w:r>
      <w:hyperlink r:id="rId22">
        <w:r>
          <w:rPr>
            <w:rStyle w:val="Hyperlink"/>
          </w:rPr>
          <w:t xml:space="preserve">here</w:t>
        </w:r>
      </w:hyperlink>
      <w:r>
        <w:t xml:space="preserve">.</w:t>
      </w:r>
    </w:p>
    <w:p>
      <w:pPr>
        <w:pStyle w:val="BodyText"/>
      </w:pPr>
      <w:r>
        <w:t xml:space="preserve">There are nine variables included: country abbreviation, country numerical code, sampling location (city or state), latitude of sampling location, longitude of sampling location, date of sampling, and concentration of three radioisotopes (Iodine 131, Caesium 134, and Ceasium 137). There are 2051 observations included, but not all observations have complete data.</w:t>
      </w:r>
    </w:p>
    <w:bookmarkEnd w:id="23"/>
    <w:bookmarkStart w:id="24" w:name="questionshypotheses-to-be-addressed"/>
    <w:p>
      <w:pPr>
        <w:pStyle w:val="Heading2"/>
      </w:pPr>
      <w:r>
        <w:rPr>
          <w:rStyle w:val="SectionNumber"/>
        </w:rPr>
        <w:t xml:space="preserve">2.3</w:t>
      </w:r>
      <w:r>
        <w:tab/>
      </w:r>
      <w:r>
        <w:t xml:space="preserve">Questions/Hypotheses to be addressed</w:t>
      </w:r>
    </w:p>
    <w:p>
      <w:pPr>
        <w:pStyle w:val="FirstParagraph"/>
      </w:pPr>
      <w:r>
        <w:rPr>
          <w:iCs/>
          <w:i/>
        </w:rPr>
        <w:t xml:space="preserve">State the research questions you plan to answer with this analysis.</w:t>
      </w:r>
      <w:r>
        <w:t xml:space="preserve"> </w:t>
      </w:r>
      <w:r>
        <w:t xml:space="preserve">There are three primary questions this study will endeavor to answer:</w:t>
      </w:r>
    </w:p>
    <w:p>
      <w:pPr>
        <w:numPr>
          <w:ilvl w:val="0"/>
          <w:numId w:val="1001"/>
        </w:numPr>
      </w:pPr>
      <w:r>
        <w:t xml:space="preserve">Is there a significant reduction in radioisotope concentration captured within the study period? If so, do the results represent known half-life decomposition for each radioisotope type?</w:t>
      </w:r>
    </w:p>
    <w:p>
      <w:pPr>
        <w:numPr>
          <w:ilvl w:val="0"/>
          <w:numId w:val="1001"/>
        </w:numPr>
      </w:pPr>
      <w:r>
        <w:t xml:space="preserve">What is the geospatial dispersion of fallout radiation captured through this publicly available sampling dataset?</w:t>
      </w:r>
    </w:p>
    <w:p>
      <w:pPr>
        <w:numPr>
          <w:ilvl w:val="0"/>
          <w:numId w:val="1001"/>
        </w:numPr>
      </w:pPr>
      <w:r>
        <w:t xml:space="preserve">Does the geospatial dispersion reported in the dataset match commonly accepted models for nuclear reactor meltdown? (Pending approval)</w:t>
      </w:r>
    </w:p>
    <w:bookmarkEnd w:id="24"/>
    <w:bookmarkEnd w:id="25"/>
    <w:bookmarkStart w:id="36" w:name="methods-and-results"/>
    <w:p>
      <w:pPr>
        <w:pStyle w:val="Heading1"/>
      </w:pPr>
      <w:r>
        <w:rPr>
          <w:rStyle w:val="SectionNumber"/>
        </w:rPr>
        <w:t xml:space="preserve">3</w:t>
      </w:r>
      <w:r>
        <w:tab/>
      </w:r>
      <w:r>
        <w:t xml:space="preserve">Methods and Results</w:t>
      </w:r>
    </w:p>
    <w:p>
      <w:pPr>
        <w:pStyle w:val="FirstParagraph"/>
      </w:pPr>
      <w:r>
        <w:rPr>
          <w:iCs/>
          <w:i/>
        </w:rPr>
        <w:t xml:space="preserve">In most research papers, results and methods are separate. You can combine them here if you find it easier. You are also welcome to structure things such that those are separate sections.</w:t>
      </w:r>
    </w:p>
    <w:bookmarkStart w:id="29" w:name="data-import-and-cleaning"/>
    <w:p>
      <w:pPr>
        <w:pStyle w:val="Heading2"/>
      </w:pPr>
      <w:r>
        <w:rPr>
          <w:rStyle w:val="SectionNumber"/>
        </w:rPr>
        <w:t xml:space="preserve">3.1</w:t>
      </w:r>
      <w:r>
        <w:tab/>
      </w:r>
      <w:r>
        <w:t xml:space="preserve">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r>
        <w:t xml:space="preserve"> </w:t>
      </w:r>
      <w:r>
        <w:t xml:space="preserve">The raw data was obtained from</w:t>
      </w:r>
      <w:r>
        <w:t xml:space="preserve"> </w:t>
      </w:r>
      <w:hyperlink r:id="rId22">
        <w:r>
          <w:rPr>
            <w:rStyle w:val="Hyperlink"/>
          </w:rPr>
          <w:t xml:space="preserve">this online repository</w:t>
        </w:r>
      </w:hyperlink>
      <w:r>
        <w:t xml:space="preserve">, but it is unclear from where the original poster obtained this data. The data were then imported into</w:t>
      </w:r>
      <w:r>
        <w:t xml:space="preserve"> </w:t>
      </w:r>
      <w:hyperlink r:id="rId26">
        <w:r>
          <w:rPr>
            <w:rStyle w:val="Hyperlink"/>
          </w:rPr>
          <w:t xml:space="preserve">RStudio 4.1</w:t>
        </w:r>
      </w:hyperlink>
      <w:r>
        <w:t xml:space="preserve">, and the</w:t>
      </w:r>
      <w:r>
        <w:t xml:space="preserve"> </w:t>
      </w:r>
      <w:hyperlink r:id="rId27">
        <w:r>
          <w:rPr>
            <w:rStyle w:val="Hyperlink"/>
          </w:rPr>
          <w:t xml:space="preserve">tidyverse</w:t>
        </w:r>
      </w:hyperlink>
      <w:r>
        <w:t xml:space="preserve"> </w:t>
      </w:r>
      <w:r>
        <w:t xml:space="preserve">package was used to adjust variable formats and create subsets for future analyses. In lieu of using the calendar date for the sample collection, a new variable representing the number of days since the Chernobyl meltdown was created. This decision was motivated by the fact that radioactive decay is a relative measure of elapsed time rather than a calendar date. The</w:t>
      </w:r>
      <w:r>
        <w:t xml:space="preserve"> </w:t>
      </w:r>
      <w:hyperlink r:id="rId28">
        <w:r>
          <w:rPr>
            <w:rStyle w:val="Hyperlink"/>
          </w:rPr>
          <w:t xml:space="preserve">geosphere</w:t>
        </w:r>
      </w:hyperlink>
      <w:r>
        <w:t xml:space="preserve"> </w:t>
      </w:r>
      <w:r>
        <w:t xml:space="preserve">package was used in a different feature engineering application to determine the distance between the Chernobyl nuclear power plant and each of the sampling locations. The full R code for data import and cleaning is available in the supplementary information.</w:t>
      </w:r>
    </w:p>
    <w:bookmarkEnd w:id="29"/>
    <w:bookmarkStart w:id="34" w:name="exploratory-analysis"/>
    <w:p>
      <w:pPr>
        <w:pStyle w:val="Heading2"/>
      </w:pPr>
      <w:r>
        <w:rPr>
          <w:rStyle w:val="SectionNumber"/>
        </w:rPr>
        <w:t xml:space="preserve">3.2</w:t>
      </w:r>
      <w:r>
        <w:tab/>
      </w:r>
      <w:r>
        <w:t xml:space="preserve">Exploratory analysis</w:t>
      </w:r>
    </w:p>
    <w:p>
      <w:pPr>
        <w:pStyle w:val="FirstParagraph"/>
      </w:pPr>
      <w:r>
        <w:rPr>
          <w:iCs/>
          <w:i/>
        </w:rPr>
        <w:t xml:space="preserve">Use a combination of text/tables/figures to explore and describe your data. You should produce plots or tables or other summary quantities for the most interesting/important quantities in your data. Depending on the total number of variables in your dataset, explore all or some of the others. FIgures produced here might be histograms or density plots, correlation plots, etc. Tables might summarize your data.</w:t>
      </w:r>
    </w:p>
    <w:p>
      <w:pPr>
        <w:pStyle w:val="BodyText"/>
      </w:pPr>
      <w:r>
        <w:rPr>
          <w:iCs/>
          <w:i/>
        </w:rPr>
        <w:t xml:space="preserve">Continue by creating plots or tables of the outcome(s) of interest and the predictor/exposure/input variables you are most interested in. If your dataset is small, you can do that for all variables. Plots produced here can be scatterplots, boxplots, violinplots, etc. Tables can be simple 2x2 tables or larger ones.</w:t>
      </w:r>
    </w:p>
    <w:p>
      <w:pPr>
        <w:pStyle w:val="BodyText"/>
      </w:pPr>
      <w:r>
        <w:rPr>
          <w:iCs/>
          <w:i/>
        </w:rPr>
        <w:t xml:space="preserve">To get some further insight into your data, if reasonable you could compute simple statistics (e.g. t-tests, simple regression model with 1 predictor, etc.)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A total 2,051 observations were included in the original dataset, but 20 were removed for having no concentration recorded for any of the radioisotopes in question.</w:t>
      </w:r>
    </w:p>
    <w:p>
      <w:pPr>
        <w:pStyle w:val="BodyText"/>
      </w:pPr>
      <w:r>
        <w:t xml:space="preserve">Table @ref(tab:isotope_table) describes the three radioisotopes captured in the data.</w:t>
      </w:r>
    </w:p>
    <w:p>
      <w:pPr>
        <w:pStyle w:val="SourceCode"/>
      </w:pPr>
      <w:r>
        <w:rPr>
          <w:rStyle w:val="VerbatimChar"/>
        </w:rPr>
        <w:t xml:space="preserve">## Get nicer `table1` .docx output by simply installing the `flextable` package</w:t>
      </w:r>
    </w:p>
    <w:p>
      <w:pPr>
        <w:pStyle w:val="SourceCode"/>
      </w:pPr>
      <w:r>
        <w:rPr>
          <w:rStyle w:val="VerbatimChar"/>
        </w:rPr>
        <w:t xml:space="preserve">##                                   Overall</w:t>
      </w:r>
      <w:r>
        <w:br/>
      </w:r>
      <w:r>
        <w:rPr>
          <w:rStyle w:val="VerbatimChar"/>
        </w:rPr>
        <w:t xml:space="preserve">## 1                                (N=2031)</w:t>
      </w:r>
      <w:r>
        <w:br/>
      </w:r>
      <w:r>
        <w:rPr>
          <w:rStyle w:val="VerbatimChar"/>
        </w:rPr>
        <w:t xml:space="preserve">## 2   Iodine 131 (Bq/m^3)                  </w:t>
      </w:r>
      <w:r>
        <w:br/>
      </w:r>
      <w:r>
        <w:rPr>
          <w:rStyle w:val="VerbatimChar"/>
        </w:rPr>
        <w:t xml:space="preserve">## 3             Mean (SD)       1.75 (5.04)</w:t>
      </w:r>
      <w:r>
        <w:br/>
      </w:r>
      <w:r>
        <w:rPr>
          <w:rStyle w:val="VerbatimChar"/>
        </w:rPr>
        <w:t xml:space="preserve">## 4     Median [Min, Max]  0.0600 [0, 70.0]</w:t>
      </w:r>
      <w:r>
        <w:br/>
      </w:r>
      <w:r>
        <w:rPr>
          <w:rStyle w:val="VerbatimChar"/>
        </w:rPr>
        <w:t xml:space="preserve">## 5               Missing         22 (1.1%)</w:t>
      </w:r>
      <w:r>
        <w:br/>
      </w:r>
      <w:r>
        <w:rPr>
          <w:rStyle w:val="VerbatimChar"/>
        </w:rPr>
        <w:t xml:space="preserve">## 6  Caesium 134 (Bq/m^3)                  </w:t>
      </w:r>
      <w:r>
        <w:br/>
      </w:r>
      <w:r>
        <w:rPr>
          <w:rStyle w:val="VerbatimChar"/>
        </w:rPr>
        <w:t xml:space="preserve">## 7             Mean (SD)     0.246 (0.752)</w:t>
      </w:r>
      <w:r>
        <w:br/>
      </w:r>
      <w:r>
        <w:rPr>
          <w:rStyle w:val="VerbatimChar"/>
        </w:rPr>
        <w:t xml:space="preserve">## 8     Median [Min, Max] 0.00204 [0, 14.0]</w:t>
      </w:r>
      <w:r>
        <w:br/>
      </w:r>
      <w:r>
        <w:rPr>
          <w:rStyle w:val="VerbatimChar"/>
        </w:rPr>
        <w:t xml:space="preserve">## 9               Missing       230 (11.3%)</w:t>
      </w:r>
      <w:r>
        <w:br/>
      </w:r>
      <w:r>
        <w:rPr>
          <w:rStyle w:val="VerbatimChar"/>
        </w:rPr>
        <w:t xml:space="preserve">## 10 Caesium 137 (Bq/m^3)                  </w:t>
      </w:r>
      <w:r>
        <w:br/>
      </w:r>
      <w:r>
        <w:rPr>
          <w:rStyle w:val="VerbatimChar"/>
        </w:rPr>
        <w:t xml:space="preserve">## 11            Mean (SD)      0.480 (1.04)</w:t>
      </w:r>
      <w:r>
        <w:br/>
      </w:r>
      <w:r>
        <w:rPr>
          <w:rStyle w:val="VerbatimChar"/>
        </w:rPr>
        <w:t xml:space="preserve">## 12    Median [Min, Max]  0.0200 [0, 11.9]</w:t>
      </w:r>
      <w:r>
        <w:br/>
      </w:r>
      <w:r>
        <w:rPr>
          <w:rStyle w:val="VerbatimChar"/>
        </w:rPr>
        <w:t xml:space="preserve">## 13              Missing       525 (25.8%)</w:t>
      </w:r>
    </w:p>
    <w:p>
      <w:pPr>
        <w:pStyle w:val="FirstParagraph"/>
      </w:pPr>
      <w:r>
        <w:t xml:space="preserve">Figure @ref(fig:radioisotopesdays_50) depicts the relationship between the first 50 days after the incident and the measured concentration of each of the three radioisotopes. Radioactive decay is often used as an example of exponential decay; however, this pattern is not represented with this data. This phenomenon can be explained by the fact that fallout radiation instead follows a Poisson distribution pattern, due to the geographical dispersion of the particles.</w:t>
      </w:r>
    </w:p>
    <w:p>
      <w:pPr>
        <w:pStyle w:val="BodyText"/>
      </w:pPr>
      <w:r>
        <w:drawing>
          <wp:inline>
            <wp:extent cx="5334000" cy="3844925"/>
            <wp:effectExtent b="0" l="0" r="0" t="0"/>
            <wp:docPr descr="(#fig:radioisotopesdays_50)Radioisotope concentrations in European countries by days after Chernobyl.." title="" id="1" name="Picture"/>
            <a:graphic>
              <a:graphicData uri="http://schemas.openxmlformats.org/drawingml/2006/picture">
                <pic:pic>
                  <pic:nvPicPr>
                    <pic:cNvPr descr="../../results/radioisotopesdays_50.png" id="0" name="Picture"/>
                    <pic:cNvPicPr>
                      <a:picLocks noChangeArrowheads="1" noChangeAspect="1"/>
                    </pic:cNvPicPr>
                  </pic:nvPicPr>
                  <pic:blipFill>
                    <a:blip r:embed="rId30"/>
                    <a:stretch>
                      <a:fillRect/>
                    </a:stretch>
                  </pic:blipFill>
                  <pic:spPr bwMode="auto">
                    <a:xfrm>
                      <a:off x="0" y="0"/>
                      <a:ext cx="5334000" cy="3844925"/>
                    </a:xfrm>
                    <a:prstGeom prst="rect">
                      <a:avLst/>
                    </a:prstGeom>
                    <a:noFill/>
                    <a:ln w="9525">
                      <a:noFill/>
                      <a:headEnd/>
                      <a:tailEnd/>
                    </a:ln>
                  </pic:spPr>
                </pic:pic>
              </a:graphicData>
            </a:graphic>
          </wp:inline>
        </w:drawing>
      </w:r>
      <w:r>
        <w:t xml:space="preserve"> </w:t>
      </w:r>
      <w:r>
        <w:t xml:space="preserve">Fallout radioisotope concentrations were collected from 96 different locations across 96 countries.</w:t>
      </w:r>
    </w:p>
    <w:p>
      <w:pPr>
        <w:pStyle w:val="BodyText"/>
      </w:pPr>
      <w:r>
        <w:t xml:space="preserve">Figure</w:t>
      </w:r>
      <w:r>
        <w:t xml:space="preserve"> </w:t>
      </w:r>
      <w:r>
        <w:t xml:space="preserve">??</w:t>
      </w:r>
      <w:r>
        <w:t xml:space="preserve"> </w:t>
      </w:r>
      <w:r>
        <w:t xml:space="preserve">depicts the relationship between time elapsed and the measured concentration of I-131 across the different countries. Figures</w:t>
      </w:r>
      <w:r>
        <w:t xml:space="preserve"> </w:t>
      </w:r>
      <w:r>
        <w:t xml:space="preserve">??</w:t>
      </w:r>
      <w:r>
        <w:t xml:space="preserve"> </w:t>
      </w:r>
      <w:r>
        <w:t xml:space="preserve">and</w:t>
      </w:r>
      <w:r>
        <w:t xml:space="preserve"> </w:t>
      </w:r>
      <w:r>
        <w:t xml:space="preserve">??</w:t>
      </w:r>
      <w:r>
        <w:t xml:space="preserve"> </w:t>
      </w:r>
      <w:r>
        <w:t xml:space="preserve">are identical representations but for Cs-134 and Cs-137 respectively.</w:t>
      </w:r>
    </w:p>
    <w:p>
      <w:pPr>
        <w:pStyle w:val="CaptionedFigure"/>
      </w:pPr>
      <w:r>
        <w:drawing>
          <wp:inline>
            <wp:extent cx="5334000" cy="3844925"/>
            <wp:effectExtent b="0" l="0" r="0" t="0"/>
            <wp:docPr descr="Figure 3.1: Concentration of I-131 in European countries by days after Chernobyl." title="" id="1" name="Picture"/>
            <a:graphic>
              <a:graphicData uri="http://schemas.openxmlformats.org/drawingml/2006/picture">
                <pic:pic>
                  <pic:nvPicPr>
                    <pic:cNvPr descr="../../results/i131samplelocations.png" id="0" name="Picture"/>
                    <pic:cNvPicPr>
                      <a:picLocks noChangeArrowheads="1" noChangeAspect="1"/>
                    </pic:cNvPicPr>
                  </pic:nvPicPr>
                  <pic:blipFill>
                    <a:blip r:embed="rId31"/>
                    <a:stretch>
                      <a:fillRect/>
                    </a:stretch>
                  </pic:blipFill>
                  <pic:spPr bwMode="auto">
                    <a:xfrm>
                      <a:off x="0" y="0"/>
                      <a:ext cx="5334000" cy="3844925"/>
                    </a:xfrm>
                    <a:prstGeom prst="rect">
                      <a:avLst/>
                    </a:prstGeom>
                    <a:noFill/>
                    <a:ln w="9525">
                      <a:noFill/>
                      <a:headEnd/>
                      <a:tailEnd/>
                    </a:ln>
                  </pic:spPr>
                </pic:pic>
              </a:graphicData>
            </a:graphic>
          </wp:inline>
        </w:drawing>
      </w:r>
    </w:p>
    <w:p>
      <w:pPr>
        <w:pStyle w:val="ImageCaption"/>
      </w:pPr>
      <w:r>
        <w:t xml:space="preserve">Figure 3.1: Concentration of I-131 in European countries by days after Chernobyl.</w:t>
      </w:r>
    </w:p>
    <w:p>
      <w:pPr>
        <w:pStyle w:val="CaptionedFigure"/>
      </w:pPr>
      <w:r>
        <w:drawing>
          <wp:inline>
            <wp:extent cx="5334000" cy="3844925"/>
            <wp:effectExtent b="0" l="0" r="0" t="0"/>
            <wp:docPr descr="Figure 3.2: Concentration of Cs-134 in European countries by days after Chernobyl." title="" id="1" name="Picture"/>
            <a:graphic>
              <a:graphicData uri="http://schemas.openxmlformats.org/drawingml/2006/picture">
                <pic:pic>
                  <pic:nvPicPr>
                    <pic:cNvPr descr="../../results/cs134samplelocations.png" id="0" name="Picture"/>
                    <pic:cNvPicPr>
                      <a:picLocks noChangeArrowheads="1" noChangeAspect="1"/>
                    </pic:cNvPicPr>
                  </pic:nvPicPr>
                  <pic:blipFill>
                    <a:blip r:embed="rId32"/>
                    <a:stretch>
                      <a:fillRect/>
                    </a:stretch>
                  </pic:blipFill>
                  <pic:spPr bwMode="auto">
                    <a:xfrm>
                      <a:off x="0" y="0"/>
                      <a:ext cx="5334000" cy="3844925"/>
                    </a:xfrm>
                    <a:prstGeom prst="rect">
                      <a:avLst/>
                    </a:prstGeom>
                    <a:noFill/>
                    <a:ln w="9525">
                      <a:noFill/>
                      <a:headEnd/>
                      <a:tailEnd/>
                    </a:ln>
                  </pic:spPr>
                </pic:pic>
              </a:graphicData>
            </a:graphic>
          </wp:inline>
        </w:drawing>
      </w:r>
    </w:p>
    <w:p>
      <w:pPr>
        <w:pStyle w:val="ImageCaption"/>
      </w:pPr>
      <w:r>
        <w:t xml:space="preserve">Figure 3.2: Concentration of Cs-134 in European countries by days after Chernobyl.</w:t>
      </w:r>
    </w:p>
    <w:p>
      <w:pPr>
        <w:pStyle w:val="CaptionedFigure"/>
      </w:pPr>
      <w:r>
        <w:drawing>
          <wp:inline>
            <wp:extent cx="5334000" cy="3844925"/>
            <wp:effectExtent b="0" l="0" r="0" t="0"/>
            <wp:docPr descr="Figure 3.3: Concentration of Cs-137 in European countries by days after Chernobyl." title="" id="1" name="Picture"/>
            <a:graphic>
              <a:graphicData uri="http://schemas.openxmlformats.org/drawingml/2006/picture">
                <pic:pic>
                  <pic:nvPicPr>
                    <pic:cNvPr descr="../../results/cs137samplelocations.png" id="0" name="Picture"/>
                    <pic:cNvPicPr>
                      <a:picLocks noChangeArrowheads="1" noChangeAspect="1"/>
                    </pic:cNvPicPr>
                  </pic:nvPicPr>
                  <pic:blipFill>
                    <a:blip r:embed="rId33"/>
                    <a:stretch>
                      <a:fillRect/>
                    </a:stretch>
                  </pic:blipFill>
                  <pic:spPr bwMode="auto">
                    <a:xfrm>
                      <a:off x="0" y="0"/>
                      <a:ext cx="5334000" cy="3844925"/>
                    </a:xfrm>
                    <a:prstGeom prst="rect">
                      <a:avLst/>
                    </a:prstGeom>
                    <a:noFill/>
                    <a:ln w="9525">
                      <a:noFill/>
                      <a:headEnd/>
                      <a:tailEnd/>
                    </a:ln>
                  </pic:spPr>
                </pic:pic>
              </a:graphicData>
            </a:graphic>
          </wp:inline>
        </w:drawing>
      </w:r>
    </w:p>
    <w:p>
      <w:pPr>
        <w:pStyle w:val="ImageCaption"/>
      </w:pPr>
      <w:r>
        <w:t xml:space="preserve">Figure 3.3: Concentration of Cs-137 in European countries by days after Chernobyl.</w:t>
      </w:r>
    </w:p>
    <w:bookmarkEnd w:id="34"/>
    <w:bookmarkStart w:id="35" w:name="full-analysis"/>
    <w:p>
      <w:pPr>
        <w:pStyle w:val="Heading2"/>
      </w:pPr>
      <w:r>
        <w:rPr>
          <w:rStyle w:val="SectionNumber"/>
        </w:rPr>
        <w:t xml:space="preserve">3.3</w:t>
      </w:r>
      <w:r>
        <w:tab/>
      </w:r>
      <w:r>
        <w:t xml:space="preserve">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bookmarkEnd w:id="35"/>
    <w:bookmarkEnd w:id="36"/>
    <w:bookmarkStart w:id="41" w:name="discussion"/>
    <w:p>
      <w:pPr>
        <w:pStyle w:val="Heading1"/>
      </w:pPr>
      <w:r>
        <w:rPr>
          <w:rStyle w:val="SectionNumber"/>
        </w:rPr>
        <w:t xml:space="preserve">4</w:t>
      </w:r>
      <w:r>
        <w:tab/>
      </w:r>
      <w:r>
        <w:t xml:space="preserve">Discussion</w:t>
      </w:r>
    </w:p>
    <w:bookmarkStart w:id="37" w:name="summary-and-interpretation"/>
    <w:p>
      <w:pPr>
        <w:pStyle w:val="Heading2"/>
      </w:pPr>
      <w:r>
        <w:rPr>
          <w:rStyle w:val="SectionNumber"/>
        </w:rPr>
        <w:t xml:space="preserve">4.1</w:t>
      </w:r>
      <w:r>
        <w:tab/>
      </w:r>
      <w:r>
        <w:t xml:space="preserve">Summary and Interpretation</w:t>
      </w:r>
    </w:p>
    <w:p>
      <w:pPr>
        <w:pStyle w:val="FirstParagraph"/>
      </w:pPr>
      <w:r>
        <w:rPr>
          <w:iCs/>
          <w:i/>
        </w:rPr>
        <w:t xml:space="preserve">Summarize what you did, what you found and what it means.</w:t>
      </w:r>
    </w:p>
    <w:bookmarkEnd w:id="37"/>
    <w:bookmarkStart w:id="38" w:name="strengths-and-limitations"/>
    <w:p>
      <w:pPr>
        <w:pStyle w:val="Heading2"/>
      </w:pPr>
      <w:r>
        <w:rPr>
          <w:rStyle w:val="SectionNumber"/>
        </w:rPr>
        <w:t xml:space="preserve">4.2</w:t>
      </w:r>
      <w:r>
        <w:tab/>
      </w:r>
      <w:r>
        <w:t xml:space="preserve">Strengths and Limitations</w:t>
      </w:r>
    </w:p>
    <w:p>
      <w:pPr>
        <w:pStyle w:val="FirstParagraph"/>
      </w:pPr>
      <w:r>
        <w:rPr>
          <w:iCs/>
          <w:i/>
        </w:rPr>
        <w:t xml:space="preserve">Discuss what you perceive as strengths and limitations of your analysis.</w:t>
      </w:r>
    </w:p>
    <w:bookmarkEnd w:id="38"/>
    <w:bookmarkStart w:id="40" w:name="conclusions"/>
    <w:p>
      <w:pPr>
        <w:pStyle w:val="Heading2"/>
      </w:pPr>
      <w:r>
        <w:rPr>
          <w:rStyle w:val="SectionNumber"/>
        </w:rPr>
        <w:t xml:space="preserve">4.3</w:t>
      </w:r>
      <w:r>
        <w:tab/>
      </w:r>
      <w:r>
        <w:t xml:space="preserve">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39">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bookmarkEnd w:id="40"/>
    <w:bookmarkEnd w:id="41"/>
    <w:bookmarkStart w:id="45" w:name="references"/>
    <w:p>
      <w:pPr>
        <w:pStyle w:val="Heading1"/>
      </w:pPr>
      <w:r>
        <w:t xml:space="preserve">References</w:t>
      </w:r>
    </w:p>
    <w:bookmarkStart w:id="44" w:name="refs"/>
    <w:bookmarkStart w:id="43" w:name="ref-Leek2015a"/>
    <w:p>
      <w:pPr>
        <w:pStyle w:val="Bibliography"/>
      </w:pPr>
      <w:r>
        <w:t xml:space="preserve">Leek, J. T., &amp; Peng, R. D. (2015). Statistics. What is the question?</w:t>
      </w:r>
      <w:r>
        <w:t xml:space="preserve"> </w:t>
      </w:r>
      <w:r>
        <w:rPr>
          <w:iCs/>
          <w:i/>
        </w:rPr>
        <w:t xml:space="preserve">Science (New York, N.Y.)</w:t>
      </w:r>
      <w:r>
        <w:t xml:space="preserve">,</w:t>
      </w:r>
      <w:r>
        <w:t xml:space="preserve"> </w:t>
      </w:r>
      <w:r>
        <w:rPr>
          <w:iCs/>
          <w:i/>
        </w:rPr>
        <w:t xml:space="preserve">347</w:t>
      </w:r>
      <w:r>
        <w:t xml:space="preserve">, 1314–1315.</w:t>
      </w:r>
      <w:r>
        <w:t xml:space="preserve"> </w:t>
      </w:r>
      <w:hyperlink r:id="rId42">
        <w:r>
          <w:rPr>
            <w:rStyle w:val="Hyperlink"/>
          </w:rPr>
          <w:t xml:space="preserve">https://doi.org/10.1126/science.aaa6146</w:t>
        </w:r>
      </w:hyperlink>
    </w:p>
    <w:bookmarkEnd w:id="43"/>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hyperlink" Id="rId28" Target="https://cran.r-project.org/web/packages/geosphere/geosphere.pdf" TargetMode="External" /><Relationship Type="http://schemas.openxmlformats.org/officeDocument/2006/relationships/hyperlink" Id="rId42" Target="https://doi.org/10.1126/science.aaa6146" TargetMode="External" /><Relationship Type="http://schemas.openxmlformats.org/officeDocument/2006/relationships/hyperlink" Id="rId22" Target="https://www.kaggle.com/brsdincer/chernobyl-chemical-radiation-csv-country-data" TargetMode="External" /><Relationship Type="http://schemas.openxmlformats.org/officeDocument/2006/relationships/hyperlink" Id="rId26" Target="https://www.rstudio.com/" TargetMode="External" /><Relationship Type="http://schemas.openxmlformats.org/officeDocument/2006/relationships/hyperlink" Id="rId27" Target="https://www.tidyverse.org/" TargetMode="External" /><Relationship Type="http://schemas.openxmlformats.org/officeDocument/2006/relationships/hyperlink" Id="rId39"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28" Target="https://cran.r-project.org/web/packages/geosphere/geosphere.pdf" TargetMode="External" /><Relationship Type="http://schemas.openxmlformats.org/officeDocument/2006/relationships/hyperlink" Id="rId42" Target="https://doi.org/10.1126/science.aaa6146" TargetMode="External" /><Relationship Type="http://schemas.openxmlformats.org/officeDocument/2006/relationships/hyperlink" Id="rId22" Target="https://www.kaggle.com/brsdincer/chernobyl-chemical-radiation-csv-country-data" TargetMode="External" /><Relationship Type="http://schemas.openxmlformats.org/officeDocument/2006/relationships/hyperlink" Id="rId26" Target="https://www.rstudio.com/" TargetMode="External" /><Relationship Type="http://schemas.openxmlformats.org/officeDocument/2006/relationships/hyperlink" Id="rId27" Target="https://www.tidyverse.org/" TargetMode="External" /><Relationship Type="http://schemas.openxmlformats.org/officeDocument/2006/relationships/hyperlink" Id="rId39"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the Fallout Radioactivity Across Europe After the Chernobyl Meltdown</dc:title>
  <dc:creator>Morgan Taylor</dc:creator>
  <cp:keywords/>
  <dcterms:created xsi:type="dcterms:W3CDTF">2021-10-29T21:05:35Z</dcterms:created>
  <dcterms:modified xsi:type="dcterms:W3CDTF">2021-10-29T21:05:35Z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2021-10-29</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
  </property>
</Properties>
</file>