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1.png" ContentType="image/png"/>
  <Override PartName="/word/media/rId36.png" ContentType="image/png"/>
  <Override PartName="/word/media/rId35.png" ContentType="image/png"/>
  <Override PartName="/word/media/rId38.png" ContentType="image/png"/>
  <Override PartName="/word/media/rId37.png" ContentType="image/png"/>
  <Override PartName="/word/media/rId34.png" ContentType="image/png"/>
  <Override PartName="/word/media/rId33.png" ContentType="image/png"/>
  <Override PartName="/word/media/rId39.png" ContentType="image/png"/>
  <Override PartName="/word/media/rId43.png" ContentType="image/png"/>
  <Override PartName="/word/media/rId41.png" ContentType="image/png"/>
  <Override PartName="/word/media/rId42.png" ContentType="image/png"/>
  <Override PartName="/word/media/rId40.png" ContentType="image/png"/>
  <Override PartName="/word/media/rId26.png" ContentType="image/png"/>
  <Override PartName="/word/media/rId25.png" ContentType="image/png"/>
  <Override PartName="/word/media/rId23.png" ContentType="image/png"/>
  <Override PartName="/word/media/rId24.png" ContentType="image/png"/>
  <Override PartName="/word/media/rId22.png" ContentType="image/png"/>
  <Override PartName="/word/media/rId21.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Federal</w:t>
      </w:r>
      <w:r>
        <w:t xml:space="preserve"> </w:t>
      </w:r>
      <w:r>
        <w:t xml:space="preserve">Emergency</w:t>
      </w:r>
      <w:r>
        <w:t xml:space="preserve"> </w:t>
      </w:r>
      <w:r>
        <w:t xml:space="preserve">Management</w:t>
      </w:r>
      <w:r>
        <w:t xml:space="preserve"> </w:t>
      </w:r>
      <w:r>
        <w:t xml:space="preserve">Agency</w:t>
      </w:r>
      <w:r>
        <w:t xml:space="preserve"> </w:t>
      </w:r>
      <w:r>
        <w:t xml:space="preserve">Funding</w:t>
      </w:r>
      <w:r>
        <w:t xml:space="preserve"> </w:t>
      </w:r>
      <w:r>
        <w:t xml:space="preserve">for</w:t>
      </w:r>
      <w:r>
        <w:t xml:space="preserve"> </w:t>
      </w:r>
      <w:r>
        <w:t xml:space="preserve">U.S.</w:t>
      </w:r>
      <w:r>
        <w:t xml:space="preserve"> </w:t>
      </w:r>
      <w:r>
        <w:t xml:space="preserve">Disasters</w:t>
      </w:r>
    </w:p>
    <w:p>
      <w:pPr>
        <w:pStyle w:val="Author"/>
      </w:pPr>
      <w:r>
        <w:t xml:space="preserve">Morgan</w:t>
      </w:r>
      <w:r>
        <w:t xml:space="preserve"> </w:t>
      </w:r>
      <w:r>
        <w:t xml:space="preserve">Taylor</w:t>
      </w:r>
    </w:p>
    <w:p>
      <w:pPr>
        <w:pStyle w:val="Date"/>
      </w:pPr>
      <w:r>
        <w:t xml:space="preserve">2021-12-13</w:t>
      </w:r>
    </w:p>
    <w:bookmarkStart w:id="45" w:name="supplemental-information"/>
    <w:p>
      <w:pPr>
        <w:pStyle w:val="Heading1"/>
      </w:pPr>
      <w:r>
        <w:rPr>
          <w:rStyle w:val="SectionNumber"/>
        </w:rPr>
        <w:t xml:space="preserve">1</w:t>
      </w:r>
      <w:r>
        <w:tab/>
      </w:r>
      <w:r>
        <w:t xml:space="preserve">Supplemental Information</w:t>
      </w:r>
    </w:p>
    <w:p>
      <w:pPr>
        <w:pStyle w:val="FirstParagraph"/>
      </w:pPr>
      <w:r>
        <w:t xml:space="preserve">This document represents additional information about the data and results. The full code and detailed explanation of the figures can be found at the</w:t>
      </w:r>
      <w:r>
        <w:t xml:space="preserve"> </w:t>
      </w:r>
      <w:hyperlink r:id="rId20">
        <w:r>
          <w:rPr>
            <w:rStyle w:val="Hyperlink"/>
          </w:rPr>
          <w:t xml:space="preserve">GitHub repository</w:t>
        </w:r>
      </w:hyperlink>
      <w:r>
        <w:t xml:space="preserve">.</w:t>
      </w:r>
    </w:p>
    <w:bookmarkStart w:id="27" w:name="exploratory-analysis"/>
    <w:p>
      <w:pPr>
        <w:pStyle w:val="Heading2"/>
      </w:pPr>
      <w:r>
        <w:rPr>
          <w:rStyle w:val="SectionNumber"/>
        </w:rPr>
        <w:t xml:space="preserve">1.1</w:t>
      </w:r>
      <w:r>
        <w:tab/>
      </w:r>
      <w:r>
        <w:t xml:space="preserve">Exploratory analysis</w:t>
      </w:r>
    </w:p>
    <w:p>
      <w:pPr>
        <w:pStyle w:val="FirstParagraph"/>
      </w:pPr>
      <w:r>
        <w:t xml:space="preserve">The processed data were explored to characterize and summarize the relevant features, which can be found below.</w:t>
      </w:r>
    </w:p>
    <w:p>
      <w:pPr>
        <w:pStyle w:val="BodyText"/>
      </w:pPr>
      <w:r>
        <w:t xml:space="preserve">Table</w:t>
      </w:r>
      <w:r>
        <w:t xml:space="preserve"> </w:t>
      </w:r>
      <w:r>
        <w:t xml:space="preserve">??</w:t>
      </w:r>
      <w:r>
        <w:t xml:space="preserve"> </w:t>
      </w:r>
      <w:r>
        <w:t xml:space="preserve">reflects the results of the exploratory data analysis. Between February 2012 and November 2021, there were 446 disaster declarations for states and territories. Funds requested by states or territories for FEMA ranged from -$855,200.3 to $4,388,540,486, with an average of $29,673,687, and FEMA funds obligated to the states and territories after reconciliation ranged from -$855,200.3 to $440,842,4297 with an average of $29,744,109.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76"/>
        <w:gridCol w:w="4693"/>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w:t>
              <w:br/>
              <w:t xml:space="preserve">(N=326)</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Requested FEMA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40600000 (255000000)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420000 [0.000000000000455, 4390000000]</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Obligated FEMA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40700000 (256000000)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434000 [0.000000000000455, 4410000000]</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Average FEMA Cost Share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0.964 (0.0573)</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[0.675, 1.00]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Federal Agencies Involved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6.23 (7.03)</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3.00 [1.00, 55.0]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Percent of Counties Awarded IH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0.338 (1.59)</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0.00197 [0, 27.7]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Percent of Counties Awarded PA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0.594 (1.56)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0.357 [0, 27.3]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Percent of Counties Awarded HM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0.476 (1.56)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0.207 [0, 27.3]</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Response Duration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1400 (898)</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1180 [70.0, 3590]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Incident Duration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136 (250)</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 [0, 660]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Declaration Month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January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 (21.8%)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February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(6.7%)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March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(6.7%)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April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(7.4%)</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May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(6.7%)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June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 (7.7%)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July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 (4.0%)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August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 (9.8%)</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September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 (9.5%)</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October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 (12.6%)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November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(2.8%)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December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(4.3%)</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Incident Year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 (2.89)</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 [2010, 2020]</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Incident Type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Biological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 (18.4%)</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Earthquake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(1.2%)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Fire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(6.1%)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Flood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 (18.7%)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Hurricane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 (22.4%)</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Other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 (4.6%)</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Severe Ice Storm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(1.2%)</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Severe Storm(s)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 (25.2%)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Tornado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(2.1%)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Declaration Type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DR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261 (80.1%)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 (19.9%)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FEMA Region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Region 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 (8.3%)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Region 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(5.8%)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Region III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 (7.7%)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Region IV</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 (19.0%)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Region IX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 (9.5%)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Region V</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 (11.3%)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Region VI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 (16.6%)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Region VII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(6.1%)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Region VIII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(7.4%)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Region 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 (8.3%)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Counties per State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75.3 (53.5)</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67.0 [1.00, 254]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State Population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9310000 (10300000)</w:t>
            </w:r>
          </w:p>
        </w:tc>
      </w:tr>
      <w:tr>
        <w:trPr>
          <w:cantSplit/>
          <w:trHeight w:val="61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Median [Min, Max]</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5710000 [577000, 39500000]</w:t>
            </w:r>
          </w:p>
        </w:tc>
      </w:tr>
    </w:tbl>
    <w:p>
      <w:pPr>
        <w:pStyle w:val="BodyText"/>
      </w:pPr>
      <w:r>
        <w:t xml:space="preserve">Figure</w:t>
      </w:r>
      <w:r>
        <w:t xml:space="preserve"> </w:t>
      </w:r>
      <w:r>
        <w:t xml:space="preserve">1.1</w:t>
      </w:r>
      <w:r>
        <w:t xml:space="preserve"> </w:t>
      </w:r>
      <w:r>
        <w:t xml:space="preserve">shows the FEMA Regions by state.</w:t>
      </w:r>
      <w:r>
        <w:t xml:space="preserve"> </w:t>
      </w:r>
      <w:r>
        <w:drawing>
          <wp:inline>
            <wp:extent cx="5334000" cy="3809273"/>
            <wp:effectExtent b="0" l="0" r="0" t="0"/>
            <wp:docPr descr="Figure 1.1: FEMA Regions" title="" id="1" name="Picture"/>
            <a:graphic>
              <a:graphicData uri="http://schemas.openxmlformats.org/drawingml/2006/picture">
                <pic:pic>
                  <pic:nvPicPr>
                    <pic:cNvPr descr="../../results/map1.png" id="0" name="Picture"/>
                    <pic:cNvPicPr>
                      <a:picLocks noChangeArrowheads="1" noChangeAspect="1"/>
                    </pic:cNvPicPr>
                  </pic:nvPicPr>
                  <pic:blipFill>
                    <a:blip r:embed="rId21"/>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t xml:space="preserve">Figure</w:t>
      </w:r>
      <w:r>
        <w:t xml:space="preserve"> </w:t>
      </w:r>
      <w:r>
        <w:t xml:space="preserve">1.2</w:t>
      </w:r>
      <w:r>
        <w:t xml:space="preserve"> </w:t>
      </w:r>
      <w:r>
        <w:t xml:space="preserve">shows the number of disaster declarations per year, and Figure</w:t>
      </w:r>
      <w:r>
        <w:t xml:space="preserve"> </w:t>
      </w:r>
      <w:r>
        <w:t xml:space="preserve">1.3</w:t>
      </w:r>
      <w:r>
        <w:t xml:space="preserve"> </w:t>
      </w:r>
      <w:r>
        <w:t xml:space="preserve">shows the total FEMA funds (both requested and obligated) by states per year. The substantial peak in 2020 corresponds to the COVID-19 pandemic, and the one in 2017 represents the hurricane season with Hurricanes Irma, Harvey, and Maria. These characteristics can also be seen in Table</w:t>
      </w:r>
      <w:r>
        <w:t xml:space="preserve"> </w:t>
      </w:r>
      <w:r>
        <w:t xml:space="preserve">1.1</w:t>
      </w:r>
      <w:r>
        <w:t xml:space="preserve">, which represents FEMA Funding for the 3 Costliest Years (2012 - 2021).</w:t>
      </w:r>
    </w:p>
    <w:p>
      <w:pPr>
        <w:pStyle w:val="CaptionedFigure"/>
      </w:pPr>
      <w:r>
        <w:drawing>
          <wp:inline>
            <wp:extent cx="5334000" cy="3809273"/>
            <wp:effectExtent b="0" l="0" r="0" t="0"/>
            <wp:docPr descr="Figure 1.2: Number of disaster declarations per year 2012 - 2021" title="" id="1" name="Picture"/>
            <a:graphic>
              <a:graphicData uri="http://schemas.openxmlformats.org/drawingml/2006/picture">
                <pic:pic>
                  <pic:nvPicPr>
                    <pic:cNvPr descr="../../results/incidentyear.png" id="0" name="Picture"/>
                    <pic:cNvPicPr>
                      <a:picLocks noChangeArrowheads="1" noChangeAspect="1"/>
                    </pic:cNvPicPr>
                  </pic:nvPicPr>
                  <pic:blipFill>
                    <a:blip r:embed="rId22"/>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1.2: Number of disaster declarations per year 2012 - 2021</w:t>
      </w:r>
    </w:p>
    <w:p>
      <w:pPr>
        <w:pStyle w:val="CaptionedFigure"/>
      </w:pPr>
      <w:r>
        <w:drawing>
          <wp:inline>
            <wp:extent cx="5334000" cy="3809273"/>
            <wp:effectExtent b="0" l="0" r="0" t="0"/>
            <wp:docPr descr="Figure 1.3: State or territory requested FEMA funds and obligated FEMA funds by year 2012 - 2021" title="" id="1" name="Picture"/>
            <a:graphic>
              <a:graphicData uri="http://schemas.openxmlformats.org/drawingml/2006/picture">
                <pic:pic>
                  <pic:nvPicPr>
                    <pic:cNvPr descr="../../results/funds-years.png" id="0" name="Picture"/>
                    <pic:cNvPicPr>
                      <a:picLocks noChangeArrowheads="1" noChangeAspect="1"/>
                    </pic:cNvPicPr>
                  </pic:nvPicPr>
                  <pic:blipFill>
                    <a:blip r:embed="rId23"/>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1.3: State or territory requested FEMA funds and obligated FEMA funds by year 2012 - 2021</w:t>
      </w:r>
    </w:p>
    <w:p>
      <w:pPr>
        <w:pStyle w:val="TableCaption"/>
      </w:pPr>
      <w:r>
        <w:t xml:space="preserve">Table 1.1:</w:t>
      </w:r>
      <w:r>
        <w:t xml:space="preserve"> </w:t>
      </w:r>
      <w:bookmarkStart w:id="6eb447c9-b044-4c8f-a89d-f883e77457b7" w:name="tab:decs-year-3"/>
      <w:r>
        <w:t xml:space="preserve">
          <w:r>
            <w:rPr>
              <w:bCs/>
              <w:b/>
            </w:rPr>
            <w:t xml:space="preserve">Table 2. FEMA Funding for the 3 Costliest Years (2012 - 2021)</w:t>
          </w:r>
        </w:t>
      </w:r>
      <w:bookmarkEnd w:id="6eb447c9-b044-4c8f-a89d-f883e77457b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820"/>
        <w:gridCol w:w="3065"/>
        <w:gridCol w:w="2943"/>
      </w:tblGrid>
      <w:tr>
        <w:trPr>
          <w:cantSplit/>
          <w:trHeight w:val="57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r>
      <w:tr>
        <w:trPr>
          <w:cantSplit/>
          <w:trHeight w:val="60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2012, N = 33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2017, N = 36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 N = 85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11,106,321 (55,959,108)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155,310,630 (735,733,161)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74,188,913 (115,267,136)</w:t>
            </w:r>
          </w:p>
        </w:tc>
      </w:tr>
      <w:tr>
        <w:trPr>
          <w:cantSplit/>
          <w:trHeight w:val="62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11,388,973 (56,050,414)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155,887,178 (739,000,529)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74,194,235 (115,269,357)</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r>
    </w:tbl>
    <w:p>
      <w:pPr>
        <w:pStyle w:val="BodyText"/>
      </w:pPr>
      <w:r>
        <w:t xml:space="preserve">Figure</w:t>
      </w:r>
      <w:r>
        <w:t xml:space="preserve"> </w:t>
      </w:r>
      <w:r>
        <w:t xml:space="preserve">1.4</w:t>
      </w:r>
      <w:r>
        <w:t xml:space="preserve"> </w:t>
      </w:r>
      <w:r>
        <w:t xml:space="preserve">shows the number of disaster declarations per month, and Figure</w:t>
      </w:r>
      <w:r>
        <w:t xml:space="preserve"> </w:t>
      </w:r>
      <w:r>
        <w:t xml:space="preserve">1.5</w:t>
      </w:r>
      <w:r>
        <w:t xml:space="preserve"> </w:t>
      </w:r>
      <w:r>
        <w:t xml:space="preserve">shows the total FEMA funds (both requested and obligated) by states per month. The substantial peak in January likely corresponds to the COVID-19 pandemic, and the ones in August, September, and October represent the peak hurricane season. These characteristics can also be seen in Table</w:t>
      </w:r>
      <w:r>
        <w:t xml:space="preserve"> </w:t>
      </w:r>
      <w:r>
        <w:t xml:space="preserve">1.2</w:t>
      </w:r>
      <w:r>
        <w:t xml:space="preserve">, which represents FEMA Funding for the 3 Costliest Months.</w:t>
      </w:r>
    </w:p>
    <w:p>
      <w:pPr>
        <w:pStyle w:val="CaptionedFigure"/>
      </w:pPr>
      <w:r>
        <w:drawing>
          <wp:inline>
            <wp:extent cx="5334000" cy="3809273"/>
            <wp:effectExtent b="0" l="0" r="0" t="0"/>
            <wp:docPr descr="Figure 1.4: Number of disaster declarations per month for years 2012 - 2021" title="" id="1" name="Picture"/>
            <a:graphic>
              <a:graphicData uri="http://schemas.openxmlformats.org/drawingml/2006/picture">
                <pic:pic>
                  <pic:nvPicPr>
                    <pic:cNvPr descr="../../results/incidentmonth.png" id="0" name="Picture"/>
                    <pic:cNvPicPr>
                      <a:picLocks noChangeArrowheads="1" noChangeAspect="1"/>
                    </pic:cNvPicPr>
                  </pic:nvPicPr>
                  <pic:blipFill>
                    <a:blip r:embed="rId24"/>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1.4: Number of disaster declarations per month for years 2012 - 2021</w:t>
      </w:r>
    </w:p>
    <w:p>
      <w:pPr>
        <w:pStyle w:val="CaptionedFigure"/>
      </w:pPr>
      <w:r>
        <w:drawing>
          <wp:inline>
            <wp:extent cx="5334000" cy="3809273"/>
            <wp:effectExtent b="0" l="0" r="0" t="0"/>
            <wp:docPr descr="Figure 1.5: State or territory requested FEMA funds and obligated FEMA funds by month for 2012 - 2021" title="" id="1" name="Picture"/>
            <a:graphic>
              <a:graphicData uri="http://schemas.openxmlformats.org/drawingml/2006/picture">
                <pic:pic>
                  <pic:nvPicPr>
                    <pic:cNvPr descr="../../results/funds-month.png" id="0" name="Picture"/>
                    <pic:cNvPicPr>
                      <a:picLocks noChangeArrowheads="1" noChangeAspect="1"/>
                    </pic:cNvPicPr>
                  </pic:nvPicPr>
                  <pic:blipFill>
                    <a:blip r:embed="rId25"/>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1.5: State or territory requested FEMA funds and obligated FEMA funds by month for 2012 - 2021</w:t>
      </w:r>
    </w:p>
    <w:p>
      <w:pPr>
        <w:pStyle w:val="TableCaption"/>
      </w:pPr>
      <w:r>
        <w:t xml:space="preserve">Table 1.2:</w:t>
      </w:r>
      <w:r>
        <w:t xml:space="preserve"> </w:t>
      </w:r>
      <w:bookmarkStart w:id="03a88ab7-f42c-41db-8083-983f953e38ea" w:name="tab:decs-month-3"/>
      <w:r>
        <w:t xml:space="preserve">
          <w:r>
            <w:rPr>
              <w:bCs/>
              <w:b/>
            </w:rPr>
            <w:t xml:space="preserve">Table 3. FEMA Funding for the 3 Costliest Months (2012 - 2021)</w:t>
          </w:r>
        </w:t>
      </w:r>
      <w:bookmarkEnd w:id="03a88ab7-f42c-41db-8083-983f953e38e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943"/>
        <w:gridCol w:w="3065"/>
        <w:gridCol w:w="2943"/>
      </w:tblGrid>
      <w:tr>
        <w:trPr>
          <w:cantSplit/>
          <w:trHeight w:val="57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Month</w:t>
            </w:r>
          </w:p>
        </w:tc>
      </w:tr>
      <w:tr>
        <w:trPr>
          <w:cantSplit/>
          <w:trHeight w:val="619"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Sept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63,229,783 (111,136,115)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100,831,890 (639,779,995)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22,992,573 (101,460,411)</w:t>
            </w:r>
          </w:p>
        </w:tc>
      </w:tr>
      <w:tr>
        <w:trPr>
          <w:cantSplit/>
          <w:trHeight w:val="62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63,239,449 (111,135,744)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101,252,822 (642,677,256)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23,165,582 (101,470,263)</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r>
    </w:tbl>
    <w:p>
      <w:pPr>
        <w:pStyle w:val="BodyText"/>
      </w:pPr>
      <w:r>
        <w:t xml:space="preserve">All 50 states as well as Washington, DC were included in the final, combined dataset. Table</w:t>
      </w:r>
      <w:r>
        <w:t xml:space="preserve"> </w:t>
      </w:r>
      <w:r>
        <w:t xml:space="preserve">1.3</w:t>
      </w:r>
      <w:r>
        <w:t xml:space="preserve"> </w:t>
      </w:r>
      <w:r>
        <w:t xml:space="preserve">provides the five most disaster-prone states and summarizes their requested FEMA funding and received FEMA funding over the study period.</w:t>
      </w:r>
    </w:p>
    <w:p>
      <w:pPr>
        <w:pStyle w:val="TableCaption"/>
      </w:pPr>
      <w:r>
        <w:t xml:space="preserve">Table 1.3:</w:t>
      </w:r>
      <w:r>
        <w:t xml:space="preserve"> </w:t>
      </w:r>
      <w:bookmarkStart w:id="eb0d908d-395a-49e6-8acd-e56efd16b481" w:name="tab:decs-state-5"/>
      <w:r>
        <w:t xml:space="preserve">
          <w:r>
            <w:rPr>
              <w:bCs/>
              <w:b/>
            </w:rPr>
            <w:t xml:space="preserve">Table 4. FEMA Funding for 5 Most Disaster-Prone States 2012 - 2021</w:t>
          </w:r>
        </w:t>
      </w:r>
      <w:bookmarkEnd w:id="eb0d908d-395a-49e6-8acd-e56efd16b48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7"/>
        <w:gridCol w:w="2943"/>
        <w:gridCol w:w="2820"/>
        <w:gridCol w:w="2943"/>
        <w:gridCol w:w="2698"/>
        <w:gridCol w:w="2698"/>
        <w:gridCol w:w="2576"/>
        <w:gridCol w:w="2943"/>
        <w:gridCol w:w="2820"/>
        <w:gridCol w:w="2820"/>
      </w:tblGrid>
      <w:tr>
        <w:trPr>
          <w:cantSplit/>
          <w:trHeight w:val="57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605"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MN,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OK,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TX,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WV,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Requested Funds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65,900,489 (173,898,625)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37,851,532 (78,320,708)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47,187,723 (104,127,805)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4,758,425 (13,184,247)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6,413,888 (14,086,311)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2,727,818 (7,026,623)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48,019,502 (135,429,624)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14,599,599 (47,096,442)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10,655,340 (32,155,687)</w:t>
            </w:r>
          </w:p>
        </w:tc>
      </w:tr>
      <w:tr>
        <w:trPr>
          <w:cantSplit/>
          <w:trHeight w:val="62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Obligated Funds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65,900,489 (173,898,625)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37,851,532 (78,320,708)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47,187,723 (104,127,805)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4,758,425 (13,184,247)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6,413,888 (14,086,311)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2,727,818 (7,026,623)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48,087,226 (135,451,571)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14,599,599 (47,096,442)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10,656,415 (32,155,346)</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r>
    </w:tbl>
    <w:p>
      <w:pPr>
        <w:pStyle w:val="BodyText"/>
      </w:pPr>
      <w:r>
        <w:t xml:space="preserve">Incident duration ranged from zero days to 660 days (or almost two years), as seen by Figure</w:t>
      </w:r>
      <w:r>
        <w:t xml:space="preserve"> </w:t>
      </w:r>
      <w:r>
        <w:t xml:space="preserve">1.6</w:t>
      </w:r>
      <w:r>
        <w:t xml:space="preserve">. The incident duration of 660 days likely corresponds to the COVID-19 pandemic, which is an ongoing incident of almost two years. Further analysis of all variables can be found in the supplementary information.</w:t>
      </w:r>
    </w:p>
    <w:p>
      <w:pPr>
        <w:pStyle w:val="CaptionedFigure"/>
      </w:pPr>
      <w:r>
        <w:drawing>
          <wp:inline>
            <wp:extent cx="5334000" cy="3809273"/>
            <wp:effectExtent b="0" l="0" r="0" t="0"/>
            <wp:docPr descr="Figure 1.6: Incident duration for requested FEMA funds and obligated FEMA funds under $1 billion for 2012 - 2021" title="" id="1" name="Picture"/>
            <a:graphic>
              <a:graphicData uri="http://schemas.openxmlformats.org/drawingml/2006/picture">
                <pic:pic>
                  <pic:nvPicPr>
                    <pic:cNvPr descr="../../results/funds-dur.png" id="0" name="Picture"/>
                    <pic:cNvPicPr>
                      <a:picLocks noChangeArrowheads="1" noChangeAspect="1"/>
                    </pic:cNvPicPr>
                  </pic:nvPicPr>
                  <pic:blipFill>
                    <a:blip r:embed="rId26"/>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1.6: Incident duration for requested FEMA funds and obligated FEMA funds under $1 billion for 2012 - 2021</w:t>
      </w:r>
    </w:p>
    <w:bookmarkEnd w:id="27"/>
    <w:bookmarkStart w:id="30" w:name="modeling-analysis"/>
    <w:p>
      <w:pPr>
        <w:pStyle w:val="Heading2"/>
      </w:pPr>
      <w:r>
        <w:rPr>
          <w:rStyle w:val="SectionNumber"/>
        </w:rPr>
        <w:t xml:space="preserve">1.2</w:t>
      </w:r>
      <w:r>
        <w:tab/>
      </w:r>
      <w:r>
        <w:t xml:space="preserve">Modeling Analysis</w:t>
      </w:r>
    </w:p>
    <w:p>
      <w:pPr>
        <w:pStyle w:val="FirstParagraph"/>
      </w:pPr>
      <w:r>
        <w:t xml:space="preserve">Prior to fitting the data to machine learning models, standard simple and multivariable regression models were fitted using the tidymodels framework in RStudio 4.1. Both outcomes of interest were fitted, using incident duration as the primary predictor of interest. Figure @ref(fig:req_MVR_bp) and @ref(fig:obl_MVR_bp) show the significant variables fitted in the multivariable regression models for requested and obligated FEMA funds, respectively. There are simply too many variables to be able to report all variables on one figure.</w:t>
      </w:r>
    </w:p>
    <w:p>
      <w:pPr>
        <w:pStyle w:val="CaptionedFigure"/>
      </w:pPr>
      <w:r>
        <w:drawing>
          <wp:inline>
            <wp:extent cx="5334000" cy="3809273"/>
            <wp:effectExtent b="0" l="0" r="0" t="0"/>
            <wp:docPr descr="(#fig:req_MVR_bp)Significant predictors in multivariate regression model for requested FEMA funds" title="" id="1" name="Picture"/>
            <a:graphic>
              <a:graphicData uri="http://schemas.openxmlformats.org/drawingml/2006/picture">
                <pic:pic>
                  <pic:nvPicPr>
                    <pic:cNvPr descr="../../results/req_MVR_bp.png" id="0" name="Picture"/>
                    <pic:cNvPicPr>
                      <a:picLocks noChangeArrowheads="1" noChangeAspect="1"/>
                    </pic:cNvPicPr>
                  </pic:nvPicPr>
                  <pic:blipFill>
                    <a:blip r:embed="rId28"/>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(#fig:req_MVR_bp)Significant predictors in multivariate regression model for requested FEMA funds</w:t>
      </w:r>
    </w:p>
    <w:p>
      <w:pPr>
        <w:pStyle w:val="CaptionedFigure"/>
      </w:pPr>
      <w:r>
        <w:drawing>
          <wp:inline>
            <wp:extent cx="5334000" cy="3809273"/>
            <wp:effectExtent b="0" l="0" r="0" t="0"/>
            <wp:docPr descr="(#fig:obl_MVR_bp)Significant predictors in multivariate regression model for obligated FEMA funds" title="" id="1" name="Picture"/>
            <a:graphic>
              <a:graphicData uri="http://schemas.openxmlformats.org/drawingml/2006/picture">
                <pic:pic>
                  <pic:nvPicPr>
                    <pic:cNvPr descr="../../results/obl_MVR_bp.png" id="0" name="Picture"/>
                    <pic:cNvPicPr>
                      <a:picLocks noChangeArrowheads="1" noChangeAspect="1"/>
                    </pic:cNvPicPr>
                  </pic:nvPicPr>
                  <pic:blipFill>
                    <a:blip r:embed="rId29"/>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(#fig:obl_MVR_bp)Significant predictors in multivariate regression model for obligated FEMA funds</w:t>
      </w:r>
    </w:p>
    <w:p>
      <w:pPr>
        <w:pStyle w:val="BodyText"/>
      </w:pPr>
      <w:r>
        <w:t xml:space="preserve">Table</w:t>
      </w:r>
      <w:r>
        <w:t xml:space="preserve"> </w:t>
      </w:r>
      <w:r>
        <w:t xml:space="preserve">1.4</w:t>
      </w:r>
      <w:r>
        <w:t xml:space="preserve"> </w:t>
      </w:r>
      <w:r>
        <w:t xml:space="preserve">shows the comparisons of the models, using the root mean square error (RMSE) and r-squared statistics. The requested and obligated funding models performed almost identically. None of the models fit the data well, which suggests more sophisticated modeling practices are necessary to adequately characterize the data.</w:t>
      </w:r>
    </w:p>
    <w:p>
      <w:pPr>
        <w:pStyle w:val="TableCaption"/>
      </w:pPr>
      <w:r>
        <w:t xml:space="preserve">Table 1.4: Linear model comparisons</w:t>
      </w:r>
    </w:p>
    <w:tbl>
      <w:tblPr>
        <w:tblStyle w:val="Table"/>
        <w:tblW w:type="pct" w:w="0.0"/>
        <w:tblLook w:firstRow="1" w:lastRow="0" w:firstColumn="0" w:lastColumn="0" w:noHBand="0" w:noVBand="0" w:val="0020"/>
        <w:tblCaption w:val="Table 1.4: Linear model comparisons"/>
      </w:tblPr>
      <w:tblGrid/>
      <w:tr>
        <w:tc>
          <w:p/>
        </w:tc>
        <w:tc>
          <w:p>
            <w:pPr>
              <w:pStyle w:val="Compact"/>
              <w:jc w:val="right"/>
            </w:pPr>
            <w:r>
              <w:t xml:space="preserve">Obligated</w:t>
            </w:r>
          </w:p>
        </w:tc>
        <w:tc>
          <w:p>
            <w:pPr>
              <w:pStyle w:val="Compact"/>
              <w:jc w:val="right"/>
            </w:pPr>
            <w:r>
              <w:t xml:space="preserve">Requested</w:t>
            </w:r>
          </w:p>
        </w:tc>
      </w:tr>
      <w:tr>
        <w:tc>
          <w:p>
            <w:pPr>
              <w:pStyle w:val="Compact"/>
              <w:jc w:val="left"/>
            </w:pPr>
            <w:r>
              <w:t xml:space="preserve">MVR: rmse</w:t>
            </w:r>
          </w:p>
        </w:tc>
        <w:tc>
          <w:p>
            <w:pPr>
              <w:pStyle w:val="Compact"/>
              <w:jc w:val="right"/>
            </w:pPr>
            <w:r>
              <w:t xml:space="preserve">3.2825340</w:t>
            </w:r>
          </w:p>
        </w:tc>
        <w:tc>
          <w:p>
            <w:pPr>
              <w:pStyle w:val="Compact"/>
              <w:jc w:val="right"/>
            </w:pPr>
            <w:r>
              <w:t xml:space="preserve">3.2821346</w:t>
            </w:r>
          </w:p>
        </w:tc>
      </w:tr>
      <w:tr>
        <w:tc>
          <w:p>
            <w:pPr>
              <w:pStyle w:val="Compact"/>
              <w:jc w:val="left"/>
            </w:pPr>
            <w:r>
              <w:t xml:space="preserve">MVR: rsq</w:t>
            </w:r>
          </w:p>
        </w:tc>
        <w:tc>
          <w:p>
            <w:pPr>
              <w:pStyle w:val="Compact"/>
              <w:jc w:val="right"/>
            </w:pPr>
            <w:r>
              <w:t xml:space="preserve">0.5767613</w:t>
            </w:r>
          </w:p>
        </w:tc>
        <w:tc>
          <w:p>
            <w:pPr>
              <w:pStyle w:val="Compact"/>
              <w:jc w:val="right"/>
            </w:pPr>
            <w:r>
              <w:t xml:space="preserve">0.5765888</w:t>
            </w:r>
          </w:p>
        </w:tc>
      </w:tr>
      <w:tr>
        <w:tc>
          <w:p>
            <w:pPr>
              <w:pStyle w:val="Compact"/>
              <w:jc w:val="left"/>
            </w:pPr>
            <w:r>
              <w:t xml:space="preserve">SLR: rmse</w:t>
            </w:r>
          </w:p>
        </w:tc>
        <w:tc>
          <w:p>
            <w:pPr>
              <w:pStyle w:val="Compact"/>
              <w:jc w:val="right"/>
            </w:pPr>
            <w:r>
              <w:t xml:space="preserve">4.6045374</w:t>
            </w:r>
          </w:p>
        </w:tc>
        <w:tc>
          <w:p>
            <w:pPr>
              <w:pStyle w:val="Compact"/>
              <w:jc w:val="right"/>
            </w:pPr>
            <w:r>
              <w:t xml:space="preserve">4.6012644</w:t>
            </w:r>
          </w:p>
        </w:tc>
      </w:tr>
      <w:tr>
        <w:tc>
          <w:p>
            <w:pPr>
              <w:pStyle w:val="Compact"/>
              <w:jc w:val="left"/>
            </w:pPr>
            <w:r>
              <w:t xml:space="preserve">SLR: rsq</w:t>
            </w:r>
          </w:p>
        </w:tc>
        <w:tc>
          <w:p>
            <w:pPr>
              <w:pStyle w:val="Compact"/>
              <w:jc w:val="right"/>
            </w:pPr>
            <w:r>
              <w:t xml:space="preserve">0.1672034</w:t>
            </w:r>
          </w:p>
        </w:tc>
        <w:tc>
          <w:p>
            <w:pPr>
              <w:pStyle w:val="Compact"/>
              <w:jc w:val="right"/>
            </w:pPr>
            <w:r>
              <w:t xml:space="preserve">0.1678456</w:t>
            </w:r>
          </w:p>
        </w:tc>
      </w:tr>
    </w:tbl>
    <w:bookmarkEnd w:id="30"/>
    <w:bookmarkStart w:id="44" w:name="machine-learning-models"/>
    <w:p>
      <w:pPr>
        <w:pStyle w:val="Heading2"/>
      </w:pPr>
      <w:r>
        <w:rPr>
          <w:rStyle w:val="SectionNumber"/>
        </w:rPr>
        <w:t xml:space="preserve">1.3</w:t>
      </w:r>
      <w:r>
        <w:tab/>
      </w:r>
      <w:r>
        <w:t xml:space="preserve">Machine Learning Models</w:t>
      </w:r>
    </w:p>
    <w:p>
      <w:pPr>
        <w:pStyle w:val="FirstParagraph"/>
      </w:pPr>
      <w:r>
        <w:t xml:space="preserve">The identified decision tree model for each outcome is illustrated by Figures</w:t>
      </w:r>
      <w:r>
        <w:t xml:space="preserve"> </w:t>
      </w:r>
      <w:r>
        <w:t xml:space="preserve">1.7</w:t>
      </w:r>
      <w:r>
        <w:t xml:space="preserve"> </w:t>
      </w:r>
      <w:r>
        <w:t xml:space="preserve">and</w:t>
      </w:r>
      <w:r>
        <w:t xml:space="preserve"> </w:t>
      </w:r>
      <w:r>
        <w:t xml:space="preserve">1.8</w:t>
      </w:r>
      <w:r>
        <w:t xml:space="preserve">.</w:t>
      </w:r>
    </w:p>
    <w:p>
      <w:pPr>
        <w:pStyle w:val="CaptionedFigure"/>
      </w:pPr>
      <w:r>
        <w:drawing>
          <wp:inline>
            <wp:extent cx="5334000" cy="3291840"/>
            <wp:effectExtent b="0" l="0" r="0" t="0"/>
            <wp:docPr descr="Figure 1.7: Selected decision tree for predicting requested FEMA funds" title="" id="1" name="Picture"/>
            <a:graphic>
              <a:graphicData uri="http://schemas.openxmlformats.org/drawingml/2006/picture">
                <pic:pic>
                  <pic:nvPicPr>
                    <pic:cNvPr descr="../../results/DT-plot-outlier.png" id="0" name="Picture"/>
                    <pic:cNvPicPr>
                      <a:picLocks noChangeArrowheads="1" noChangeAspect="1"/>
                    </pic:cNvPicPr>
                  </pic:nvPicPr>
                  <pic:blipFill>
                    <a:blip r:embed="rId31"/>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1.7: Selected decision tree for predicting requested FEMA funds</w:t>
      </w:r>
    </w:p>
    <w:p>
      <w:pPr>
        <w:pStyle w:val="CaptionedFigure"/>
      </w:pPr>
      <w:r>
        <w:drawing>
          <wp:inline>
            <wp:extent cx="5334000" cy="3291840"/>
            <wp:effectExtent b="0" l="0" r="0" t="0"/>
            <wp:docPr descr="Figure 1.8: Selected decision tree for predicting obligated FEMA funds" title="" id="1" name="Picture"/>
            <a:graphic>
              <a:graphicData uri="http://schemas.openxmlformats.org/drawingml/2006/picture">
                <pic:pic>
                  <pic:nvPicPr>
                    <pic:cNvPr descr="../../results/DT-plot-OA-outlier.png" id="0" name="Picture"/>
                    <pic:cNvPicPr>
                      <a:picLocks noChangeArrowheads="1" noChangeAspect="1"/>
                    </pic:cNvPicPr>
                  </pic:nvPicPr>
                  <pic:blipFill>
                    <a:blip r:embed="rId32"/>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1.8: Selected decision tree for predicting obligated FEMA funds</w:t>
      </w:r>
    </w:p>
    <w:p>
      <w:pPr>
        <w:pStyle w:val="BodyText"/>
      </w:pPr>
      <w:r>
        <w:t xml:space="preserve">The most important variables in the identified random forest model for each outcome is illustrated by Figures</w:t>
      </w:r>
      <w:r>
        <w:t xml:space="preserve"> </w:t>
      </w:r>
      <w:r>
        <w:t xml:space="preserve">1.9</w:t>
      </w:r>
      <w:r>
        <w:t xml:space="preserve"> </w:t>
      </w:r>
      <w:r>
        <w:t xml:space="preserve">and</w:t>
      </w:r>
      <w:r>
        <w:t xml:space="preserve"> </w:t>
      </w:r>
      <w:r>
        <w:t xml:space="preserve">1.10</w:t>
      </w:r>
      <w:r>
        <w:t xml:space="preserve">.</w:t>
      </w:r>
    </w:p>
    <w:p>
      <w:pPr>
        <w:pStyle w:val="CaptionedFigure"/>
      </w:pPr>
      <w:r>
        <w:drawing>
          <wp:inline>
            <wp:extent cx="5334000" cy="3291840"/>
            <wp:effectExtent b="0" l="0" r="0" t="0"/>
            <wp:docPr descr="Figure 1.9: 20 most important variables for the random forest model for requested FEMA funds" title="" id="1" name="Picture"/>
            <a:graphic>
              <a:graphicData uri="http://schemas.openxmlformats.org/drawingml/2006/picture">
                <pic:pic>
                  <pic:nvPicPr>
                    <pic:cNvPr descr="../../results/RF-plot-outlier.png" id="0" name="Picture"/>
                    <pic:cNvPicPr>
                      <a:picLocks noChangeArrowheads="1" noChangeAspect="1"/>
                    </pic:cNvPicPr>
                  </pic:nvPicPr>
                  <pic:blipFill>
                    <a:blip r:embed="rId33"/>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1.9: 20 most important variables for the random forest model for requested FEMA funds</w:t>
      </w:r>
    </w:p>
    <w:p>
      <w:pPr>
        <w:pStyle w:val="CaptionedFigure"/>
      </w:pPr>
      <w:r>
        <w:drawing>
          <wp:inline>
            <wp:extent cx="5334000" cy="3291840"/>
            <wp:effectExtent b="0" l="0" r="0" t="0"/>
            <wp:docPr descr="Figure 1.10: 20 most important variables for the random forest model for obligated FEMA funds" title="" id="1" name="Picture"/>
            <a:graphic>
              <a:graphicData uri="http://schemas.openxmlformats.org/drawingml/2006/picture">
                <pic:pic>
                  <pic:nvPicPr>
                    <pic:cNvPr descr="../../results/RF-plot-OA-outlier.png" id="0" name="Picture"/>
                    <pic:cNvPicPr>
                      <a:picLocks noChangeArrowheads="1" noChangeAspect="1"/>
                    </pic:cNvPicPr>
                  </pic:nvPicPr>
                  <pic:blipFill>
                    <a:blip r:embed="rId34"/>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1.10: 20 most important variables for the random forest model for obligated FEMA funds</w:t>
      </w:r>
    </w:p>
    <w:p>
      <w:pPr>
        <w:pStyle w:val="BodyText"/>
      </w:pPr>
      <w:r>
        <w:t xml:space="preserve">The most important variables in the identified elastic net model for each outcome is illustrated by Figures</w:t>
      </w:r>
      <w:r>
        <w:t xml:space="preserve"> </w:t>
      </w:r>
      <w:r>
        <w:t xml:space="preserve">1.11</w:t>
      </w:r>
      <w:r>
        <w:t xml:space="preserve"> </w:t>
      </w:r>
      <w:r>
        <w:t xml:space="preserve">and</w:t>
      </w:r>
      <w:r>
        <w:t xml:space="preserve"> </w:t>
      </w:r>
      <w:r>
        <w:t xml:space="preserve">1.12</w:t>
      </w:r>
      <w:r>
        <w:t xml:space="preserve">.</w:t>
      </w:r>
    </w:p>
    <w:p>
      <w:pPr>
        <w:pStyle w:val="CaptionedFigure"/>
      </w:pPr>
      <w:r>
        <w:drawing>
          <wp:inline>
            <wp:extent cx="5334000" cy="3291840"/>
            <wp:effectExtent b="0" l="0" r="0" t="0"/>
            <wp:docPr descr="Figure 1.11: 20 most important variables for the elastic net model for requested FEMA funds" title="" id="1" name="Picture"/>
            <a:graphic>
              <a:graphicData uri="http://schemas.openxmlformats.org/drawingml/2006/picture">
                <pic:pic>
                  <pic:nvPicPr>
                    <pic:cNvPr descr="../../results/EN-plot-outlier.png" id="0" name="Picture"/>
                    <pic:cNvPicPr>
                      <a:picLocks noChangeArrowheads="1" noChangeAspect="1"/>
                    </pic:cNvPicPr>
                  </pic:nvPicPr>
                  <pic:blipFill>
                    <a:blip r:embed="rId35"/>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1.11: 20 most important variables for the elastic net model for requested FEMA funds</w:t>
      </w:r>
    </w:p>
    <w:p>
      <w:pPr>
        <w:pStyle w:val="CaptionedFigure"/>
      </w:pPr>
      <w:r>
        <w:drawing>
          <wp:inline>
            <wp:extent cx="5334000" cy="3291840"/>
            <wp:effectExtent b="0" l="0" r="0" t="0"/>
            <wp:docPr descr="Figure 1.12: 20 most important variables for the elastic net model for obligated FEMA funds" title="" id="1" name="Picture"/>
            <a:graphic>
              <a:graphicData uri="http://schemas.openxmlformats.org/drawingml/2006/picture">
                <pic:pic>
                  <pic:nvPicPr>
                    <pic:cNvPr descr="../../results/EN-plot-OA-outlier.png" id="0" name="Picture"/>
                    <pic:cNvPicPr>
                      <a:picLocks noChangeArrowheads="1" noChangeAspect="1"/>
                    </pic:cNvPicPr>
                  </pic:nvPicPr>
                  <pic:blipFill>
                    <a:blip r:embed="rId36"/>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1.12: 20 most important variables for the elastic net model for obligated FEMA funds</w:t>
      </w:r>
    </w:p>
    <w:p>
      <w:pPr>
        <w:pStyle w:val="BodyText"/>
      </w:pPr>
      <w:r>
        <w:t xml:space="preserve">The most important variables in the identified LASSO model for each outcome is illustrated by Figures</w:t>
      </w:r>
      <w:r>
        <w:t xml:space="preserve"> </w:t>
      </w:r>
      <w:r>
        <w:t xml:space="preserve">1.13</w:t>
      </w:r>
      <w:r>
        <w:t xml:space="preserve"> </w:t>
      </w:r>
      <w:r>
        <w:t xml:space="preserve">and</w:t>
      </w:r>
      <w:r>
        <w:t xml:space="preserve"> </w:t>
      </w:r>
      <w:r>
        <w:t xml:space="preserve">1.14</w:t>
      </w:r>
      <w:r>
        <w:t xml:space="preserve">.</w:t>
      </w:r>
    </w:p>
    <w:p>
      <w:pPr>
        <w:pStyle w:val="CaptionedFigure"/>
      </w:pPr>
      <w:r>
        <w:drawing>
          <wp:inline>
            <wp:extent cx="5334000" cy="3291840"/>
            <wp:effectExtent b="0" l="0" r="0" t="0"/>
            <wp:docPr descr="Figure 1.13: 20 most important variables for the LASSO model for requested FEMA funds" title="" id="1" name="Picture"/>
            <a:graphic>
              <a:graphicData uri="http://schemas.openxmlformats.org/drawingml/2006/picture">
                <pic:pic>
                  <pic:nvPicPr>
                    <pic:cNvPr descr="../../results/LASSO-plot-outlier.png" id="0" name="Picture"/>
                    <pic:cNvPicPr>
                      <a:picLocks noChangeArrowheads="1" noChangeAspect="1"/>
                    </pic:cNvPicPr>
                  </pic:nvPicPr>
                  <pic:blipFill>
                    <a:blip r:embed="rId37"/>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1.13: 20 most important variables for the LASSO model for requested FEMA funds</w:t>
      </w:r>
    </w:p>
    <w:p>
      <w:pPr>
        <w:pStyle w:val="CaptionedFigure"/>
      </w:pPr>
      <w:r>
        <w:drawing>
          <wp:inline>
            <wp:extent cx="5334000" cy="3291840"/>
            <wp:effectExtent b="0" l="0" r="0" t="0"/>
            <wp:docPr descr="Figure 1.14: 20 most important variables for the LASSO model for obligated FEMA funds" title="" id="1" name="Picture"/>
            <a:graphic>
              <a:graphicData uri="http://schemas.openxmlformats.org/drawingml/2006/picture">
                <pic:pic>
                  <pic:nvPicPr>
                    <pic:cNvPr descr="../../results/LASSO-plot-OA-outlier.png" id="0" name="Picture"/>
                    <pic:cNvPicPr>
                      <a:picLocks noChangeArrowheads="1" noChangeAspect="1"/>
                    </pic:cNvPicPr>
                  </pic:nvPicPr>
                  <pic:blipFill>
                    <a:blip r:embed="rId38"/>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1.14: 20 most important variables for the LASSO model for obligated FEMA funds</w:t>
      </w:r>
    </w:p>
    <w:p>
      <w:pPr>
        <w:pStyle w:val="BodyText"/>
      </w:pPr>
      <w:r>
        <w:t xml:space="preserve">Table</w:t>
      </w:r>
      <w:r>
        <w:t xml:space="preserve"> </w:t>
      </w:r>
      <w:r>
        <w:t xml:space="preserve">1.5</w:t>
      </w:r>
      <w:r>
        <w:t xml:space="preserve"> </w:t>
      </w:r>
      <w:r>
        <w:t xml:space="preserve">shows the model comparisons for estimating requested FEMA funding, and Table</w:t>
      </w:r>
      <w:r>
        <w:t xml:space="preserve"> </w:t>
      </w:r>
      <w:r>
        <w:t xml:space="preserve">1.6</w:t>
      </w:r>
      <w:r>
        <w:t xml:space="preserve"> </w:t>
      </w:r>
      <w:r>
        <w:t xml:space="preserve">similarly shows the model comparisons for estimating obligated FEMA funding.</w:t>
      </w:r>
    </w:p>
    <w:p>
      <w:pPr>
        <w:pStyle w:val="TableCaption"/>
      </w:pPr>
      <w:r>
        <w:t xml:space="preserve">Table 1.5: ML model comparison for requested FEMA funding</w:t>
      </w:r>
    </w:p>
    <w:tbl>
      <w:tblPr>
        <w:tblStyle w:val="Table"/>
        <w:tblW w:type="pct" w:w="0.0"/>
        <w:tblLook w:firstRow="1" w:lastRow="0" w:firstColumn="0" w:lastColumn="0" w:noHBand="0" w:noVBand="0" w:val="0020"/>
        <w:tblCaption w:val="Table 1.5: ML model comparison for requested FEMA funding"/>
      </w:tblPr>
      <w:tblGrid/>
      <w:tr>
        <w:tc>
          <w:p>
            <w:pPr>
              <w:pStyle w:val="Compact"/>
              <w:jc w:val="right"/>
            </w:pPr>
            <w:r>
              <w:t xml:space="preserve">rmse</w:t>
            </w:r>
          </w:p>
        </w:tc>
        <w:tc>
          <w:p>
            <w:pPr>
              <w:pStyle w:val="Compact"/>
              <w:jc w:val="right"/>
            </w:pPr>
            <w:r>
              <w:t xml:space="preserve">SE</w:t>
            </w:r>
          </w:p>
        </w:tc>
        <w:tc>
          <w:p>
            <w:pPr>
              <w:pStyle w:val="Compact"/>
              <w:jc w:val="left"/>
            </w:pPr>
            <w:r>
              <w:t xml:space="preserve">model</w:t>
            </w:r>
          </w:p>
        </w:tc>
      </w:tr>
      <w:tr>
        <w:tc>
          <w:p>
            <w:pPr>
              <w:pStyle w:val="Compact"/>
              <w:jc w:val="right"/>
            </w:pPr>
            <w:r>
              <w:t xml:space="preserve">5.388000</w:t>
            </w:r>
          </w:p>
        </w:tc>
        <w:tc>
          <w:p>
            <w:pPr>
              <w:pStyle w:val="Compact"/>
              <w:jc w:val="right"/>
            </w:pPr>
            <w:r>
              <w:t xml:space="preserve">2.3019</w:t>
            </w:r>
          </w:p>
        </w:tc>
        <w:tc>
          <w:p>
            <w:pPr>
              <w:pStyle w:val="Compact"/>
              <w:jc w:val="left"/>
            </w:pPr>
            <w:r>
              <w:t xml:space="preserve">LASSO</w:t>
            </w:r>
          </w:p>
        </w:tc>
      </w:tr>
      <w:tr>
        <w:tc>
          <w:p>
            <w:pPr>
              <w:pStyle w:val="Compact"/>
              <w:jc w:val="right"/>
            </w:pPr>
            <w:r>
              <w:t xml:space="preserve">5.394000</w:t>
            </w:r>
          </w:p>
        </w:tc>
        <w:tc>
          <w:p>
            <w:pPr>
              <w:pStyle w:val="Compact"/>
              <w:jc w:val="right"/>
            </w:pPr>
            <w:r>
              <w:t xml:space="preserve">2.3023</w:t>
            </w:r>
          </w:p>
        </w:tc>
        <w:tc>
          <w:p>
            <w:pPr>
              <w:pStyle w:val="Compact"/>
              <w:jc w:val="left"/>
            </w:pPr>
            <w:r>
              <w:t xml:space="preserve">EN</w:t>
            </w:r>
          </w:p>
        </w:tc>
      </w:tr>
      <w:tr>
        <w:tc>
          <w:p>
            <w:pPr>
              <w:pStyle w:val="Compact"/>
              <w:jc w:val="right"/>
            </w:pPr>
            <w:r>
              <w:t xml:space="preserve">5.552000</w:t>
            </w:r>
          </w:p>
        </w:tc>
        <w:tc>
          <w:p>
            <w:pPr>
              <w:pStyle w:val="Compact"/>
              <w:jc w:val="right"/>
            </w:pPr>
            <w:r>
              <w:t xml:space="preserve">2.2316</w:t>
            </w:r>
          </w:p>
        </w:tc>
        <w:tc>
          <w:p>
            <w:pPr>
              <w:pStyle w:val="Compact"/>
              <w:jc w:val="left"/>
            </w:pPr>
            <w:r>
              <w:t xml:space="preserve">RF</w:t>
            </w:r>
          </w:p>
        </w:tc>
      </w:tr>
      <w:tr>
        <w:tc>
          <w:p>
            <w:pPr>
              <w:pStyle w:val="Compact"/>
              <w:jc w:val="right"/>
            </w:pPr>
            <w:r>
              <w:t xml:space="preserve">5.679000</w:t>
            </w:r>
          </w:p>
        </w:tc>
        <w:tc>
          <w:p>
            <w:pPr>
              <w:pStyle w:val="Compact"/>
              <w:jc w:val="right"/>
            </w:pPr>
            <w:r>
              <w:t xml:space="preserve">2.1802</w:t>
            </w:r>
          </w:p>
        </w:tc>
        <w:tc>
          <w:p>
            <w:pPr>
              <w:pStyle w:val="Compact"/>
              <w:jc w:val="left"/>
            </w:pPr>
            <w:r>
              <w:t xml:space="preserve">Tree</w:t>
            </w:r>
          </w:p>
        </w:tc>
      </w:tr>
      <w:tr>
        <w:tc>
          <w:p>
            <w:pPr>
              <w:pStyle w:val="Compact"/>
              <w:jc w:val="right"/>
            </w:pPr>
            <w:r>
              <w:t xml:space="preserve">5.276854</w:t>
            </w:r>
          </w:p>
        </w:tc>
        <w:tc>
          <w:p>
            <w:pPr>
              <w:pStyle w:val="Compact"/>
              <w:jc w:val="right"/>
            </w:pPr>
            <w:r>
              <w:t xml:space="preserve">0.0000</w:t>
            </w:r>
          </w:p>
        </w:tc>
        <w:tc>
          <w:p>
            <w:pPr>
              <w:pStyle w:val="Compact"/>
              <w:jc w:val="left"/>
            </w:pPr>
            <w:r>
              <w:t xml:space="preserve">Null - Train</w:t>
            </w:r>
          </w:p>
        </w:tc>
      </w:tr>
    </w:tbl>
    <w:p/>
    <w:p>
      <w:pPr>
        <w:pStyle w:val="TableCaption"/>
      </w:pPr>
      <w:r>
        <w:t xml:space="preserve">Table 1.6: ML model comparison for obligated FEMA funding</w:t>
      </w:r>
    </w:p>
    <w:tbl>
      <w:tblPr>
        <w:tblStyle w:val="Table"/>
        <w:tblW w:type="pct" w:w="0.0"/>
        <w:tblLook w:firstRow="1" w:lastRow="0" w:firstColumn="0" w:lastColumn="0" w:noHBand="0" w:noVBand="0" w:val="0020"/>
        <w:tblCaption w:val="Table 1.6: ML model comparison for obligated FEMA funding"/>
      </w:tblPr>
      <w:tblGrid/>
      <w:tr>
        <w:tc>
          <w:p>
            <w:pPr>
              <w:pStyle w:val="Compact"/>
              <w:jc w:val="right"/>
            </w:pPr>
            <w:r>
              <w:t xml:space="preserve">rmse</w:t>
            </w:r>
          </w:p>
        </w:tc>
        <w:tc>
          <w:p>
            <w:pPr>
              <w:pStyle w:val="Compact"/>
              <w:jc w:val="right"/>
            </w:pPr>
            <w:r>
              <w:t xml:space="preserve">SE</w:t>
            </w:r>
          </w:p>
        </w:tc>
        <w:tc>
          <w:p>
            <w:pPr>
              <w:pStyle w:val="Compact"/>
              <w:jc w:val="left"/>
            </w:pPr>
            <w:r>
              <w:t xml:space="preserve">model</w:t>
            </w:r>
          </w:p>
        </w:tc>
      </w:tr>
      <w:tr>
        <w:tc>
          <w:p>
            <w:pPr>
              <w:pStyle w:val="Compact"/>
              <w:jc w:val="right"/>
            </w:pPr>
            <w:r>
              <w:t xml:space="preserve">5.38900</w:t>
            </w:r>
          </w:p>
        </w:tc>
        <w:tc>
          <w:p>
            <w:pPr>
              <w:pStyle w:val="Compact"/>
              <w:jc w:val="right"/>
            </w:pPr>
            <w:r>
              <w:t xml:space="preserve">2.3020</w:t>
            </w:r>
          </w:p>
        </w:tc>
        <w:tc>
          <w:p>
            <w:pPr>
              <w:pStyle w:val="Compact"/>
              <w:jc w:val="left"/>
            </w:pPr>
            <w:r>
              <w:t xml:space="preserve">LASSO</w:t>
            </w:r>
          </w:p>
        </w:tc>
      </w:tr>
      <w:tr>
        <w:tc>
          <w:p>
            <w:pPr>
              <w:pStyle w:val="Compact"/>
              <w:jc w:val="right"/>
            </w:pPr>
            <w:r>
              <w:t xml:space="preserve">5.39500</w:t>
            </w:r>
          </w:p>
        </w:tc>
        <w:tc>
          <w:p>
            <w:pPr>
              <w:pStyle w:val="Compact"/>
              <w:jc w:val="right"/>
            </w:pPr>
            <w:r>
              <w:t xml:space="preserve">2.3023</w:t>
            </w:r>
          </w:p>
        </w:tc>
        <w:tc>
          <w:p>
            <w:pPr>
              <w:pStyle w:val="Compact"/>
              <w:jc w:val="left"/>
            </w:pPr>
            <w:r>
              <w:t xml:space="preserve">EN</w:t>
            </w:r>
          </w:p>
        </w:tc>
      </w:tr>
      <w:tr>
        <w:tc>
          <w:p>
            <w:pPr>
              <w:pStyle w:val="Compact"/>
              <w:jc w:val="right"/>
            </w:pPr>
            <w:r>
              <w:t xml:space="preserve">5.55200</w:t>
            </w:r>
          </w:p>
        </w:tc>
        <w:tc>
          <w:p>
            <w:pPr>
              <w:pStyle w:val="Compact"/>
              <w:jc w:val="right"/>
            </w:pPr>
            <w:r>
              <w:t xml:space="preserve">2.2302</w:t>
            </w:r>
          </w:p>
        </w:tc>
        <w:tc>
          <w:p>
            <w:pPr>
              <w:pStyle w:val="Compact"/>
              <w:jc w:val="left"/>
            </w:pPr>
            <w:r>
              <w:t xml:space="preserve">RF</w:t>
            </w:r>
          </w:p>
        </w:tc>
      </w:tr>
      <w:tr>
        <w:tc>
          <w:p>
            <w:pPr>
              <w:pStyle w:val="Compact"/>
              <w:jc w:val="right"/>
            </w:pPr>
            <w:r>
              <w:t xml:space="preserve">5.70700</w:t>
            </w:r>
          </w:p>
        </w:tc>
        <w:tc>
          <w:p>
            <w:pPr>
              <w:pStyle w:val="Compact"/>
              <w:jc w:val="right"/>
            </w:pPr>
            <w:r>
              <w:t xml:space="preserve">2.1712</w:t>
            </w:r>
          </w:p>
        </w:tc>
        <w:tc>
          <w:p>
            <w:pPr>
              <w:pStyle w:val="Compact"/>
              <w:jc w:val="left"/>
            </w:pPr>
            <w:r>
              <w:t xml:space="preserve">Tree</w:t>
            </w:r>
          </w:p>
        </w:tc>
      </w:tr>
      <w:tr>
        <w:tc>
          <w:p>
            <w:pPr>
              <w:pStyle w:val="Compact"/>
              <w:jc w:val="right"/>
            </w:pPr>
            <w:r>
              <w:t xml:space="preserve">5.27838</w:t>
            </w:r>
          </w:p>
        </w:tc>
        <w:tc>
          <w:p>
            <w:pPr>
              <w:pStyle w:val="Compact"/>
              <w:jc w:val="right"/>
            </w:pPr>
            <w:r>
              <w:t xml:space="preserve">0.0000</w:t>
            </w:r>
          </w:p>
        </w:tc>
        <w:tc>
          <w:p>
            <w:pPr>
              <w:pStyle w:val="Compact"/>
              <w:jc w:val="left"/>
            </w:pPr>
            <w:r>
              <w:t xml:space="preserve">Null - Train</w:t>
            </w:r>
          </w:p>
        </w:tc>
      </w:tr>
    </w:tbl>
    <w:p>
      <w:pPr>
        <w:pStyle w:val="BodyText"/>
      </w:pPr>
      <w:r>
        <w:t xml:space="preserve">Once the random forest was fit to the test data, the following diagnostic plots were created for each outcome.</w:t>
      </w:r>
    </w:p>
    <w:p>
      <w:pPr>
        <w:pStyle w:val="BodyText"/>
      </w:pPr>
      <w:r>
        <w:t xml:space="preserve">For Requested FEMA Funding:</w:t>
      </w:r>
      <w:r>
        <w:t xml:space="preserve"> </w:t>
      </w:r>
      <w:r>
        <w:drawing>
          <wp:inline>
            <wp:extent cx="5334000" cy="3807460"/>
            <wp:effectExtent b="0" l="0" r="0" t="0"/>
            <wp:docPr descr="Figure 1.15: Actual vs predicted log(requested FEMA funds) for the random forest test model" title="" id="1" name="Picture"/>
            <a:graphic>
              <a:graphicData uri="http://schemas.openxmlformats.org/drawingml/2006/picture">
                <pic:pic>
                  <pic:nvPicPr>
                    <pic:cNvPr descr="../../results/RF-pred-act-test-outlier.png" id="0" name="Picture"/>
                    <pic:cNvPicPr>
                      <a:picLocks noChangeArrowheads="1" noChangeAspect="1"/>
                    </pic:cNvPicPr>
                  </pic:nvPicPr>
                  <pic:blipFill>
                    <a:blip r:embed="rId39"/>
                    <a:stretch>
                      <a:fillRect/>
                    </a:stretch>
                  </pic:blipFill>
                  <pic:spPr bwMode="auto">
                    <a:xfrm>
                      <a:off x="0" y="0"/>
                      <a:ext cx="5334000" cy="3807460"/>
                    </a:xfrm>
                    <a:prstGeom prst="rect">
                      <a:avLst/>
                    </a:prstGeom>
                    <a:noFill/>
                    <a:ln w="9525">
                      <a:noFill/>
                      <a:headEnd/>
                      <a:tailEnd/>
                    </a:ln>
                  </pic:spPr>
                </pic:pic>
              </a:graphicData>
            </a:graphic>
          </wp:inline>
        </w:drawing>
      </w:r>
    </w:p>
    <w:p>
      <w:pPr>
        <w:pStyle w:val="CaptionedFigure"/>
      </w:pPr>
      <w:r>
        <w:drawing>
          <wp:inline>
            <wp:extent cx="5334000" cy="3807460"/>
            <wp:effectExtent b="0" l="0" r="0" t="0"/>
            <wp:docPr descr="Figure 1.16: Requested FEMA funds residuals for the random forest test model" title="" id="1" name="Picture"/>
            <a:graphic>
              <a:graphicData uri="http://schemas.openxmlformats.org/drawingml/2006/picture">
                <pic:pic>
                  <pic:nvPicPr>
                    <pic:cNvPr descr="../../results/RF-resid-test-outlier.png" id="0" name="Picture"/>
                    <pic:cNvPicPr>
                      <a:picLocks noChangeArrowheads="1" noChangeAspect="1"/>
                    </pic:cNvPicPr>
                  </pic:nvPicPr>
                  <pic:blipFill>
                    <a:blip r:embed="rId40"/>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1.16: Requested FEMA funds residuals for the random forest test model</w:t>
      </w:r>
    </w:p>
    <w:p>
      <w:pPr>
        <w:pStyle w:val="CaptionedFigure"/>
      </w:pPr>
      <w:r>
        <w:drawing>
          <wp:inline>
            <wp:extent cx="5334000" cy="3807460"/>
            <wp:effectExtent b="0" l="0" r="0" t="0"/>
            <wp:docPr descr="Figure 1.17: Residuals versus fitted values of the log(requested FEMA funds) for the random forest test model" title="" id="1" name="Picture"/>
            <a:graphic>
              <a:graphicData uri="http://schemas.openxmlformats.org/drawingml/2006/picture">
                <pic:pic>
                  <pic:nvPicPr>
                    <pic:cNvPr descr="../../results/RF-pred-resid-test-outlier.png" id="0" name="Picture"/>
                    <pic:cNvPicPr>
                      <a:picLocks noChangeArrowheads="1" noChangeAspect="1"/>
                    </pic:cNvPicPr>
                  </pic:nvPicPr>
                  <pic:blipFill>
                    <a:blip r:embed="rId41"/>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1.17: Residuals versus fitted values of the log(requested FEMA funds) for the random forest test model</w:t>
      </w:r>
    </w:p>
    <w:p>
      <w:pPr>
        <w:pStyle w:val="BodyText"/>
      </w:pPr>
      <w:r>
        <w:t xml:space="preserve">For Obligated FEMA Funding:</w:t>
      </w:r>
    </w:p>
    <w:p>
      <w:pPr>
        <w:pStyle w:val="CaptionedFigure"/>
      </w:pPr>
      <w:r>
        <w:drawing>
          <wp:inline>
            <wp:extent cx="5334000" cy="3807460"/>
            <wp:effectExtent b="0" l="0" r="0" t="0"/>
            <wp:docPr descr="Figure 1.18: Actual vs predicted log(obligated FEMA funds) for the random forest test model" title="" id="1" name="Picture"/>
            <a:graphic>
              <a:graphicData uri="http://schemas.openxmlformats.org/drawingml/2006/picture">
                <pic:pic>
                  <pic:nvPicPr>
                    <pic:cNvPr descr="../../results/RF-pred-act-test-outlier.png" id="0" name="Picture"/>
                    <pic:cNvPicPr>
                      <a:picLocks noChangeArrowheads="1" noChangeAspect="1"/>
                    </pic:cNvPicPr>
                  </pic:nvPicPr>
                  <pic:blipFill>
                    <a:blip r:embed="rId39"/>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1.18: Actual vs predicted log(obligated FEMA funds) for the random forest test model</w:t>
      </w:r>
    </w:p>
    <w:p>
      <w:pPr>
        <w:pStyle w:val="CaptionedFigure"/>
      </w:pPr>
      <w:r>
        <w:drawing>
          <wp:inline>
            <wp:extent cx="5334000" cy="3807460"/>
            <wp:effectExtent b="0" l="0" r="0" t="0"/>
            <wp:docPr descr="Figure 1.19: Obligated FEMA funds residuals for the random forest test model" title="" id="1" name="Picture"/>
            <a:graphic>
              <a:graphicData uri="http://schemas.openxmlformats.org/drawingml/2006/picture">
                <pic:pic>
                  <pic:nvPicPr>
                    <pic:cNvPr descr="../../results/RF-resid-test-OA-outlier.png" id="0" name="Picture"/>
                    <pic:cNvPicPr>
                      <a:picLocks noChangeArrowheads="1" noChangeAspect="1"/>
                    </pic:cNvPicPr>
                  </pic:nvPicPr>
                  <pic:blipFill>
                    <a:blip r:embed="rId42"/>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1.19: Obligated FEMA funds residuals for the random forest test model</w:t>
      </w:r>
    </w:p>
    <w:p>
      <w:pPr>
        <w:pStyle w:val="CaptionedFigure"/>
      </w:pPr>
      <w:r>
        <w:drawing>
          <wp:inline>
            <wp:extent cx="5334000" cy="3807460"/>
            <wp:effectExtent b="0" l="0" r="0" t="0"/>
            <wp:docPr descr="Figure 1.20: Residuals versus fitted values of the log(obligated FEMA funds) for the random forest test model" title="" id="1" name="Picture"/>
            <a:graphic>
              <a:graphicData uri="http://schemas.openxmlformats.org/drawingml/2006/picture">
                <pic:pic>
                  <pic:nvPicPr>
                    <pic:cNvPr descr="../../results/RF-pred-resid-test-OA-outlier.png" id="0" name="Picture"/>
                    <pic:cNvPicPr>
                      <a:picLocks noChangeArrowheads="1" noChangeAspect="1"/>
                    </pic:cNvPicPr>
                  </pic:nvPicPr>
                  <pic:blipFill>
                    <a:blip r:embed="rId43"/>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1.20: Residuals versus fitted values of the log(obligated FEMA funds) for the random forest test model</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20" Target="https://github.com/morganataylor/MorganTaylor-MADA-project"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morganataylor/MorganTaylor-MAD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Federal Emergency Management Agency Funding for U.S. Disasters</dc:title>
  <dc:creator>Morgan Taylor</dc:creator>
  <cp:keywords/>
  <dcterms:created xsi:type="dcterms:W3CDTF">2021-12-13T15:28:04Z</dcterms:created>
  <dcterms:modified xsi:type="dcterms:W3CDTF">2021-12-13T15:28:04Z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2021-12-13</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