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2D2D"/>
          <w:sz w:val="64"/>
          <w:szCs w:val="64"/>
        </w:rPr>
        <w:t xml:space="preserve">ICON PRESS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Publisher Outreach &amp; IP Protection Strategy</w:t>
      </w:r>
    </w:p>
    <w:p>
      <w:pPr>
        <w:pBdr>
          <w:bottom w:val="single" w:color="D4AF37" w:sz="6" w:space="1"/>
        </w:pBdr>
        <w:spacing w:after="400"/>
        <w:jc w:val="center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February 2026</w:t>
      </w:r>
    </w:p>
    <w:p>
      <w:r>
        <w:br w:type="page"/>
      </w:r>
    </w:p>
    <w:p>
      <w:pPr>
        <w:pStyle w:val="Heading1"/>
      </w:pPr>
      <w:r>
        <w:t xml:space="preserve">Protecting the Icon Press Concept</w:t>
      </w:r>
    </w:p>
    <w:p>
      <w:pPr>
        <w:spacing w:after="200"/>
      </w:pPr>
      <w:r>
        <w:t xml:space="preserve">A legitimate concern: when you pitch a publisher on turning their cover archive into art prints, what stops them from cutting you out and doing it themselves? The short answer is that ideas themselves aren’t protectable — but execution, timing, and positioning are your real moat. Here’s the full strategy for protecting your position.</w:t>
      </w:r>
    </w:p>
    <w:p>
      <w:pPr>
        <w:pStyle w:val="Heading2"/>
      </w:pPr>
      <w:r>
        <w:t xml:space="preserve">Why Publishers Won’t (Likely) Do It Themselves</w:t>
      </w:r>
    </w:p>
    <w:p>
      <w:pPr>
        <w:spacing w:after="120"/>
      </w:pPr>
      <w:r>
        <w:t xml:space="preserve">Media companies are not e-commerce operators. Setting up a print-on-demand storefront, marketing to consumers, handling customer service, and building a brand around wall art is completely outside their core competency. They make money from advertising, digital content, and events — not from selling physical products to consumers. The effort-to-reward ratio of building this themselves doesn’t make sense for a company with hundreds of employees and a different business model. That’s exactly why licensing exists: they collect royalties for doing nothing, you do the work.</w:t>
      </w:r>
    </w:p>
    <w:p>
      <w:pPr>
        <w:pStyle w:val="Heading2"/>
      </w:pPr>
      <w:r>
        <w:t xml:space="preserve">Practical Protections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Launch before you pitch. </w:t>
      </w:r>
      <w:r>
        <w:t xml:space="preserve">Get Icon Press live with Tier 1 and 2 products (original artwork and licensed stock photography) before approaching any publishers. When you pitch, you’re not sharing an idea — you’re showing a working business with traffic, sales, and proof of demand. That’s much harder to replicate than a concept.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Move fast across multiple publishers. </w:t>
      </w:r>
      <w:r>
        <w:t xml:space="preserve">Pitch all your target publishers within the same 2–3 week window. Once one signs, use it as leverage for the others. “We’ve just signed a deal with [Publisher X] and are expanding our licensed catalog — we’d love to include [Publisher Y]’s archive.” The first deal creates FOMO.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Request an NDA before sharing details. </w:t>
      </w:r>
      <w:r>
        <w:t xml:space="preserve">When you get a meeting, ask if they’ll sign a mutual NDA before discussing the full business model and financial projections. Some will, some won’t. It’s worth asking, but don’t make it a dealbreaker.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Lock in exclusivity in the contract. </w:t>
      </w:r>
      <w:r>
        <w:t xml:space="preserve">The most important protection is contractual. Your licensing agreement should grant Icon Press the exclusive right to sell their covers as art prints (in the specific product category of framed/unframed poster prints for home decor). This prevents them from doing it themselves or licensing to a competitor in the same category for the term of the agreement.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the brand, not just the product. </w:t>
      </w:r>
      <w:r>
        <w:t xml:space="preserve">Icon Press as a curated brand with a following, an aesthetic, an email list, and customer loyalty is something no publisher can replicate overnight. They might have the covers, but they don’t have the brand, the audience, or the e-commerce infrastructure. By the time they could build it, you’re years ahead.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Keep your pitch focused on value to them. </w:t>
      </w:r>
      <w:r>
        <w:t xml:space="preserve">Frame every conversation around the royalty revenue they’ll earn from a dormant asset. You’re not asking them for a favour — you’re offering them passive income. The more you position it as their win, the less likely they are to think about competing with you.</w:t>
      </w:r>
    </w:p>
    <w:p>
      <w:r>
        <w:br w:type="page"/>
      </w:r>
    </w:p>
    <w:p>
      <w:pPr>
        <w:pStyle w:val="Heading1"/>
      </w:pPr>
      <w:r>
        <w:t xml:space="preserve">Target Publishers: The Top 10</w:t>
      </w:r>
    </w:p>
    <w:p>
      <w:pPr>
        <w:spacing w:after="200"/>
      </w:pPr>
      <w:r>
        <w:t xml:space="preserve">Below are the ten highest-priority magazine publishers to approach for licensing, ordered by the strength of their cover archive for Icon Press’s brand. Each entry includes current ownership, status, and a licensing assessment.</w:t>
      </w:r>
    </w:p>
    <w:p>
      <w:pPr>
        <w:pStyle w:val="Heading2"/>
      </w:pPr>
      <w:r>
        <w:t xml:space="preserve">1. XXL Magazine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1997 by Harris Publications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Townsquare Media (NASDAQ: TSQ)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— digital-first with occasional print editions (Freshman Class issue)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Hip-hop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 Archive Strength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⭐⭐⭐⭐⭐ — Jay-Z, Biggie, Tupac, Eminem, 50 Cent, Lil Wayne. The Freshman Class covers alone are iconic.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Licensing Likelihood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— Large media company, used to licensing, not currently monetising the print archive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Approach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Townsquare Media business development / brand partnerships team. LinkedIn outreach.</w:t>
            </w:r>
          </w:p>
        </w:tc>
      </w:tr>
    </w:tbl>
    <w:p>
      <w:pPr>
        <w:pStyle w:val="Heading2"/>
        <w:spacing w:before="300"/>
      </w:pPr>
      <w:r>
        <w:t xml:space="preserve">2. The Source Magazine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1988 by David Mays and Jonathan Shecter at Harvard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Northstar Group, led by L. Londell McMillan (purchased 2008)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— digital-first. Occasional special print editions. Source Awards revival announced.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Hip-hop (the OG hip-hop magazine)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 Archive Strength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⭐⭐⭐⭐⭐ — The most historically significant hip-hop cover archive. Biggie, Tupac, Nas, Jay-Z, Snoop, Wu-Tang. The 5 Mic reviews are legendary.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Licensing Likelihood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MEDIUM-HIGH — Smaller owner (Northstar Group), may be very receptive to new revenue. McMillan is an entertainment lawyer, so he understands licensing.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Approach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L. Londell McMillan directly (he’s accessible on social media). Or through The Northstar Group.</w:t>
            </w:r>
          </w:p>
        </w:tc>
      </w:tr>
    </w:tbl>
    <w:p>
      <w:pPr>
        <w:pStyle w:val="Heading2"/>
        <w:spacing w:before="300"/>
      </w:pPr>
      <w:r>
        <w:t xml:space="preserve">3. VIBE Magazine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1993 by Quincy Jones and Time Warner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Penske Media Corporation (PMC) — via Eldridge Industries’ acquisition of SpinMedia in 2016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— digital only since 2014. Part of PMC’s portfolio alongside Rolling Stone, Billboard, Variety.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Hip-hop, R&amp;B, pop culture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 Archive Strength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⭐⭐⭐⭐⭐ — Tupac’s legendary cover, Biggie, Mary J. Blige, TLC in firefighter gear, Aaliyah illustration. Some of the most artistic covers in music magazine history.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Licensing Likelihood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— PMC is a large corporation with established licensing processes. May be more bureaucratic but has the infrastructure to do deals.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Approach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PMC licensing / business development department. They manage multiple magazine brands so they’ll have a licensing team.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SLAM Magazine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1994 by Dennis Page (Harris Publications)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SLAM Media Inc. (independently operated)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— print and digital. Still publishing. Strong brand in basketball culture.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Basketball / sports culture with hip-hop crossover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 Archive Strength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⭐⭐⭐⭐⭐ — Jordan, Kobe, Shaq, Iverson, LeBron. Basketball’s equivalent of The Source. They even published a book of their best covers.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Licensing Likelihood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— Independently owned, already merchandising their brand (they sell posters on their own site). May be open to a partnership that expands their reach.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Approach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outreach via slamonline.com or their editorial team. Smaller operation = faster decisions.</w:t>
            </w:r>
          </w:p>
        </w:tc>
      </w:tr>
    </w:tbl>
    <w:p>
      <w:pPr>
        <w:pStyle w:val="Heading2"/>
        <w:spacing w:before="300"/>
      </w:pPr>
      <w:r>
        <w:t xml:space="preserve">5. Rolling Stone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1967 by Jann Wenner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Penske Media Corporation (PMC) — majority stake acquired 2022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— print and digital. One of the most recognised magazine brands globally.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Music, pop culture, politics (all decades, all genres)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 Archive Strength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⭐⭐⭐⭐⭐ — 60 years of the most iconic covers in music history. Lennon, Hendrix, Nirvana, Tupac, Bowie. The gold standard.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Licensing Likelihood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— Same parent company as VIBE (PMC). They likely already license their covers for some merchandise. Approach both VIBE and Rolling Stone through PMC together.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Approach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PMC licensing department. Pitch VIBE and Rolling Stone as a package deal.</w:t>
            </w:r>
          </w:p>
        </w:tc>
      </w:tr>
    </w:tbl>
    <w:p>
      <w:pPr>
        <w:pStyle w:val="Heading2"/>
        <w:spacing w:before="300"/>
      </w:pPr>
      <w:r>
        <w:t xml:space="preserve">6. Sports Illustrated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1954 by Time Inc.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 Brands Group (ABG) owns the brand. Minute Media operates the website and content.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but turbulent — print has been on and off. ABG aggressively licenses the SI brand.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Sports (all sports, all eras)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 Archive Strength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⭐⭐⭐⭐⭐ — 70 years of the most iconic sports photography ever published. Jordan, Ali, Gretzky, Tiger. Unmatched.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Licensing Likelihood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— ABG’s entire business model is brand licensing. They will almost certainly have a process for this. May already have licensees in the poster space, so check for conflicts.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Approach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 Brands Group licensing department. They’re set up for exactly this kind of deal.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 The FADER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1999 by Rob Stone and Jon Cohen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FADER Inc. (independently owned)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— digital-first. Known for discovering artists early.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Music, culture (hip-hop, electronic, indie, global)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 Archive Strength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 — More art-directed and editorial than other hip-hop mags. Covers are very visually striking and would work well as prints.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Licensing Likelihood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MEDIUM-HIGH — Independent, culture-forward brand. Likely receptive to a thoughtful partnership.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Approach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outreach to founders/editorial team via LinkedIn or their website.</w:t>
            </w:r>
          </w:p>
        </w:tc>
      </w:tr>
    </w:tbl>
    <w:p>
      <w:pPr>
        <w:pStyle w:val="Heading2"/>
        <w:spacing w:before="300"/>
      </w:pPr>
      <w:r>
        <w:t xml:space="preserve">8. Complex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2002 by Marc Ecko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BuzzFeed acquired Complex Networks in 2022 for ~$300M. Now part of the BuzzFeed portfolio.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— digital and video focused. ComplexCon is a major cultural event.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Streetwear, sneakers, music, pop culture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 Archive Strength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 — Started as print (2002–2016). Covers lean more streetwear/fashion than pure music. Strong visual identity.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Licensing Likelihood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— BuzzFeed has been cutting costs and looking for revenue. Passive licensing income could be attractive.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Approach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BuzzFeed / Complex Networks business development.</w:t>
            </w:r>
          </w:p>
        </w:tc>
      </w:tr>
    </w:tbl>
    <w:p>
      <w:pPr>
        <w:pStyle w:val="Heading2"/>
        <w:spacing w:before="300"/>
      </w:pPr>
      <w:r>
        <w:t xml:space="preserve">9. NME (New Musical Express)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1952 (UK)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BandLab Technologies (Singapore-based music company, acquired 2019)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— digital only since 2018. One of the most recognised music magazine brands in the world.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Rock, indie, Britpop, alternative (broadening to hip-hop and pop)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 Archive Strength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⭐⭐⭐⭐⭐ — 70+ years of covers. Oasis, Blur, Radiohead, Nirvana, The Smiths, Arctic Monkeys. Defines British music culture.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Licensing Likelihood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MEDIUM-HIGH — BandLab is a tech company, not a traditional publisher. May be very open to creative licensing partnerships.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Approach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BandLab / NME business team. Good international expansion angle.</w:t>
            </w:r>
          </w:p>
        </w:tc>
      </w:tr>
    </w:tbl>
    <w:p>
      <w:pPr>
        <w:pStyle w:val="Heading2"/>
        <w:spacing w:before="300"/>
      </w:pPr>
      <w:r>
        <w:t xml:space="preserve">10. The 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1980 by Nick Logan (UK). Relaunched 2019.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Face (independently relaunched)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— relaunched as digital-first with occasional print editions.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Fashion, music, culture, youth culture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 Archive Strength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⭐⭐⭐⭐⭐ — 80s and 90s covers are some of the most visually striking in magazine history. Supermodels, musicians, cultural icons. Highly collectible.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Licensing Likelihood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MEDIUM-HIGH — Independent relaunch with a lean team. Likely very receptive to licensing the back catalog for additional revenue.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Approach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to editorial / management team. Small operation = fast decisions.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Outreach Execution Plan</w:t>
      </w:r>
    </w:p>
    <w:p>
      <w:pPr>
        <w:pStyle w:val="Heading2"/>
      </w:pPr>
      <w:r>
        <w:t xml:space="preserve">Phase 1: Prepare (Before Any Emails)</w:t>
      </w:r>
    </w:p>
    <w:p>
      <w:pPr>
        <w:pStyle w:val="ListParagraph"/>
        <w:numPr>
          <w:ilvl w:val="0"/>
          <w:numId w:val="2"/>
        </w:numPr>
      </w:pPr>
      <w:r>
        <w:t xml:space="preserve">Get the Icon Press store live with Tier 1 and 2 products. You need something to show.</w:t>
      </w:r>
    </w:p>
    <w:p>
      <w:pPr>
        <w:pStyle w:val="ListParagraph"/>
        <w:numPr>
          <w:ilvl w:val="0"/>
          <w:numId w:val="2"/>
        </w:numPr>
      </w:pPr>
      <w:r>
        <w:t xml:space="preserve">Create a one-page pitch deck (PDF) summarising the opportunity: what Icon Press is, the licensing proposition, the revenue model (royalty-based), and a few mockups showing how their covers would look as framed prints on a wall.</w:t>
      </w:r>
    </w:p>
    <w:p>
      <w:pPr>
        <w:pStyle w:val="ListParagraph"/>
        <w:numPr>
          <w:ilvl w:val="0"/>
          <w:numId w:val="2"/>
        </w:numPr>
      </w:pPr>
      <w:r>
        <w:t xml:space="preserve">Research contacts at each publisher using LinkedIn. Target titles like VP Business Development, Licensing Manager, Brand Partnerships, or even the Editor-in-Chief for smaller outlets.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Prepare a template pitch email that you can customise for each publisher (see below).</w:t>
      </w:r>
    </w:p>
    <w:p>
      <w:pPr>
        <w:pStyle w:val="Heading2"/>
      </w:pPr>
      <w:r>
        <w:t xml:space="preserve">Phase 2: Outreach Blitz (Same 2–3 Week Window)</w:t>
      </w:r>
    </w:p>
    <w:p>
      <w:pPr>
        <w:spacing w:after="120"/>
      </w:pPr>
      <w:r>
        <w:t xml:space="preserve">Send personalised pitches to all 10 publishers within the same 2–3 week period. This is critical — you want deals progressing in parallel so that early wins create leverage for later conversations.</w:t>
      </w:r>
    </w:p>
    <w:p>
      <w:pPr>
        <w:pStyle w:val="Heading3"/>
      </w:pPr>
      <w:r>
        <w:t xml:space="preserve">Priority Order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1 — High confidence targets: </w:t>
      </w:r>
      <w:r>
        <w:t xml:space="preserve">SLAM, The Source, The FADER, The Face. These are smaller / independently owned and likely to respond faster and be more flexible.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2 — Medium targets: </w:t>
      </w:r>
      <w:r>
        <w:t xml:space="preserve">XXL (Townsquare), NME (BandLab), Complex (BuzzFeed). Mid-size corporate owners with licensing experience.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Week 2–3 — Big targets: </w:t>
      </w:r>
      <w:r>
        <w:t xml:space="preserve">VIBE + Rolling Stone (pitch PMC as a package), Sports Illustrated (ABG). These are the biggest prizes but will take longer.</w:t>
      </w:r>
    </w:p>
    <w:p>
      <w:pPr>
        <w:pStyle w:val="Heading2"/>
      </w:pPr>
      <w:r>
        <w:t xml:space="preserve">Phase 3: Leverage Early Wins</w:t>
      </w:r>
    </w:p>
    <w:p>
      <w:pPr>
        <w:spacing w:after="200"/>
      </w:pPr>
      <w:r>
        <w:t xml:space="preserve">The moment you close your first licensing deal, use it. Update your pitch to every other publisher: “We’ve just signed a licensing agreement with [Publisher X] and are building out our licensed catalog. We’d love to include [their magazine] in the collection.” This transforms the conversation from “will this work?” to “do you want to be part of what’s already working?”</w:t>
      </w:r>
    </w:p>
    <w:p>
      <w:pPr>
        <w:pStyle w:val="Heading1"/>
      </w:pPr>
      <w:r>
        <w:t xml:space="preserve">Pitch Email Template</w:t>
      </w:r>
    </w:p>
    <w:p>
      <w:pPr>
        <w:spacing w:after="120"/>
      </w:pPr>
      <w:r>
        <w:rPr>
          <w:i/>
          <w:iCs/>
          <w:color w:val="666666"/>
        </w:rPr>
        <w:t xml:space="preserve">Customise the bracketed sections for each publisher:</w:t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>Subject: Licensing Partnership Inquiry — [Magazine Name] Cover Archive</w:t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>Hi [Name],</w:t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>I’m the founder of Icon Press (iconpress.com), a curated online print shop specialising in iconic cultural imagery as affordable wall art.</w:t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>I’m reaching out because [Magazine Name]’s cover archive is one of the most visually striking collections in [genre — e.g., hip-hop history / basketball culture / music journalism]. I’d love to explore a licensing partnership to bring those covers to a new audience as high-quality art prints.</w:t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>The concept:</w:t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>• Licensed reproductions of classic [Magazine Name] covers as premium poster prints</w:t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>• Sized to fit standard IKEA frames for easy, affordable display</w:t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>• Sold through our e-commerce store with print-on-demand fulfilment</w:t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>• Zero cost or effort on your end — we handle everything</w:t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>We’re proposing a royalty-based arrangement where [Publisher/Owner] receives a percentage of each sale. We’re already live and selling original and licensed prints, and are now expanding our catalog to include officially licensed magazine covers.</w:t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>I’ve attached a one-page overview with mockups showing how the covers would look as framed prints. Would you be open to a brief call to discuss?</w:t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>Best regards,</w:t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>[Your Name]</w:t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>Founder, Icon Press</w:t>
      </w:r>
    </w:p>
    <w:p>
      <w:pPr>
        <w:pBdr>
          <w:left w:val="single" w:color="D4AF37" w:sz="12" w:space="8"/>
        </w:pBdr>
        <w:shd w:fill="F5F5F5" w:val="clear"/>
        <w:spacing w:after="20"/>
      </w:pPr>
      <w:r>
        <w:rPr>
          <w:rFonts w:ascii="Arial" w:cs="Arial" w:eastAsia="Arial" w:hAnsi="Arial"/>
          <w:sz w:val="20"/>
          <w:szCs w:val="20"/>
        </w:rPr>
        <w:t xml:space="preserve">[email] | iconpress.com</w:t>
      </w:r>
    </w:p>
    <w:p>
      <w:pPr>
        <w:pStyle w:val="Heading2"/>
        <w:spacing w:before="300"/>
      </w:pPr>
      <w:r>
        <w:t xml:space="preserve">Follow-Up Cadence</w:t>
      </w:r>
    </w:p>
    <w:p>
      <w:pPr>
        <w:pStyle w:val="ListParagraph"/>
        <w:numPr>
          <w:ilvl w:val="0"/>
          <w:numId w:val="3"/>
        </w:numPr>
      </w:pPr>
      <w:r>
        <w:t xml:space="preserve">Day 0: Send initial pitch email</w:t>
      </w:r>
    </w:p>
    <w:p>
      <w:pPr>
        <w:pStyle w:val="ListParagraph"/>
        <w:numPr>
          <w:ilvl w:val="0"/>
          <w:numId w:val="3"/>
        </w:numPr>
      </w:pPr>
      <w:r>
        <w:t xml:space="preserve">Day 5–7: First follow-up (“Just circling back on my email below — happy to jump on a quick call if it’s easier.”)</w:t>
      </w:r>
    </w:p>
    <w:p>
      <w:pPr>
        <w:pStyle w:val="ListParagraph"/>
        <w:numPr>
          <w:ilvl w:val="0"/>
          <w:numId w:val="3"/>
        </w:numPr>
      </w:pPr>
      <w:r>
        <w:t xml:space="preserve">Day 14: Second follow-up (brief, add a new data point like a sales milestone or a new mockup)</w:t>
      </w:r>
    </w:p>
    <w:p>
      <w:pPr>
        <w:pStyle w:val="ListParagraph"/>
        <w:numPr>
          <w:ilvl w:val="0"/>
          <w:numId w:val="3"/>
        </w:numPr>
      </w:pPr>
      <w:r>
        <w:t xml:space="preserve">Day 21: Final follow-up (“Last note on this — if the timing isn’t right, no worries at all. Happy to reconnect in the future.”)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If no response after 4 touches, move on and revisit in 3–6 months with updated sales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D2D2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4444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2026-02-18T14:23:22.278Z</dcterms:created>
  <dcterms:modified xsi:type="dcterms:W3CDTF">2026-02-18T14:23:22.279Z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