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1502" w14:textId="0D230D74" w:rsidR="007845CB" w:rsidRDefault="007845CB">
      <w:r>
        <w:t>Group 4: Morgan Madish, Johnny Mink, Jarrett Huff, Mason Ickes</w:t>
      </w:r>
    </w:p>
    <w:p w14:paraId="42C154D6" w14:textId="794ABF48" w:rsidR="1A3F394C" w:rsidRDefault="1A3F394C">
      <w:r>
        <w:t>RQ1: North Carolina Case Study</w:t>
      </w:r>
    </w:p>
    <w:p w14:paraId="68853CEB" w14:textId="382E2C0A" w:rsidR="1A3F394C" w:rsidRDefault="1A3F394C" w:rsidP="5F672671">
      <w:r>
        <w:t>SQ1 – Trends in Clean Power Capacity and Economic Indicators (2014–2023)</w:t>
      </w:r>
    </w:p>
    <w:p w14:paraId="4FAA425A" w14:textId="14E6B15C" w:rsidR="1A3F394C" w:rsidRDefault="1A3F394C" w:rsidP="5F672671">
      <w:r>
        <w:t>RQ1 aimed to gain an understanding of how North Carolina's growth in clean power over the past decade has compared to the state's economic indicators. With our compiled datasets from the BLS and ACP, clear upward trends were seen in both energy capacity from clean sources and overall economic performance. Clean power capacity rose from roughly 2,000 MW in 2014 to over 6,400 MW in 2023, while employment increased from around 4.45 million to above 5 million. Unemployment fell in the same period, except for the expected increase in 2020.</w:t>
      </w:r>
    </w:p>
    <w:p w14:paraId="272A3630" w14:textId="44FBE645" w:rsidR="1A3F394C" w:rsidRDefault="1A3F394C" w:rsidP="5F672671">
      <w:r>
        <w:t>These trends matched the graphs we included in the report. The line chart comparing clean power capacity and GDP shows that both increased steadily, which tells us that economic growth and clean energy transition moved together rather than against each other. Clean energy jobs also increased from around 80,000 in 2014 to roughly 110,000 in 2023, reinforcing that the sector has become a major employer. At the statewide level, clean energy jobs make up more than 90% of total energy-related employment.</w:t>
      </w:r>
    </w:p>
    <w:p w14:paraId="05342A87" w14:textId="0E60D130" w:rsidR="1A3F394C" w:rsidRDefault="1A3F394C" w:rsidP="5F672671">
      <w:r>
        <w:t>SQ2 - Statistical Correlation Between Clean Power and Economic Indicators</w:t>
      </w:r>
    </w:p>
    <w:p w14:paraId="53501741" w14:textId="79DC765B" w:rsidR="1A3F394C" w:rsidRDefault="1A3F394C" w:rsidP="5F672671">
      <w:r>
        <w:t xml:space="preserve">The scatterplots created above show that clean power capacity and clean energy jobs are strongly positively correlated. Where there was an increase in capacity, clean energy jobs rose almost linearly. There is also a clear negative association between clean energy jobs and the unemployment rate. While this doesn't prove causation, this data supports the hypothesis that clean energy growth and healthy labor markets can go </w:t>
      </w:r>
      <w:r w:rsidR="6F1E87EE">
        <w:t>together</w:t>
      </w:r>
      <w:r>
        <w:t>.</w:t>
      </w:r>
    </w:p>
    <w:p w14:paraId="206B3DD4" w14:textId="0D3A9354" w:rsidR="1A3F394C" w:rsidRDefault="1A3F394C" w:rsidP="5F672671">
      <w:r>
        <w:t xml:space="preserve">Conclusion to RQ1: Overall, North Carolina’s clean power expansion has aligned with economic improvement, not </w:t>
      </w:r>
      <w:r w:rsidR="03762526">
        <w:t>declining</w:t>
      </w:r>
      <w:r w:rsidR="408CE85E">
        <w:t xml:space="preserve">. </w:t>
      </w:r>
      <w:r>
        <w:t>The data indicates that clean energy growth strengthened employment and supported the state economy over the decade.</w:t>
      </w:r>
    </w:p>
    <w:p w14:paraId="3E69AE5B" w14:textId="75B5B41A" w:rsidR="1A3F394C" w:rsidRDefault="1A3F394C" w:rsidP="5F672671">
      <w:r>
        <w:t>RQ2: Job Market Shift in Sectors</w:t>
      </w:r>
    </w:p>
    <w:p w14:paraId="459B5F00" w14:textId="30182F75" w:rsidR="1A3F394C" w:rsidRDefault="1A3F394C" w:rsidP="5F672671">
      <w:r>
        <w:t>SQ1</w:t>
      </w:r>
      <w:r w:rsidR="205E38E2">
        <w:t xml:space="preserve"> Clean</w:t>
      </w:r>
      <w:r>
        <w:t xml:space="preserve"> Energy versus Traditional Energy Jobs in North Carolina</w:t>
      </w:r>
    </w:p>
    <w:p w14:paraId="7E503F9D" w14:textId="5D814CA0" w:rsidR="1A3F394C" w:rsidRDefault="1A3F394C" w:rsidP="5F672671">
      <w:r>
        <w:t>To gain a sense of how clean energy employment compares to traditional fossil energy employment, we mapped out the estimates by county. Mecklenburg County, for instance, has nearly 19,000 jobs in clean energy and only about 1,700 jobs in fossil energy. Wake and Guilford counties were similar. Even at the state level, more than 90% of energy jobs are in clean energy. As the chart in the report shows, clean energy has grown to become truly dominant across the state.</w:t>
      </w:r>
    </w:p>
    <w:p w14:paraId="7CF2D439" w14:textId="353EF6D2" w:rsidR="1A3F394C" w:rsidRDefault="1A3F394C" w:rsidP="5F672671">
      <w:r>
        <w:t>SQ2 – Changes Over the Decade</w:t>
      </w:r>
    </w:p>
    <w:p w14:paraId="4400609F" w14:textId="5500DB81" w:rsidR="1A3F394C" w:rsidRDefault="1A3F394C" w:rsidP="5F672671">
      <w:r>
        <w:lastRenderedPageBreak/>
        <w:t xml:space="preserve">From 2014 through 2023, clean energy jobs grew by about 30,000 statewide while fossil energy jobs declined. This reflects national energy trends but is more pronounced in North Carolina. Whether high-employment counties or counties with </w:t>
      </w:r>
      <w:r w:rsidR="005341CD">
        <w:t>exceedingly small</w:t>
      </w:r>
      <w:r>
        <w:t xml:space="preserve"> energy sectors, clean energy represents the overwhelming share of jobs.</w:t>
      </w:r>
    </w:p>
    <w:p w14:paraId="619A84EC" w14:textId="3627A8FC" w:rsidR="1A3F394C" w:rsidRDefault="1A3F394C" w:rsidP="5F672671">
      <w:r>
        <w:t>RQ2 Conclusion: There has been a distinct transition within North Carolina's energy job market. Clean energy isn't just growing, as it has become the core of the state's energy workforce.</w:t>
      </w:r>
    </w:p>
    <w:p w14:paraId="35ADC6D5" w14:textId="3C11D61C" w:rsidR="1A3F394C" w:rsidRDefault="1A3F394C" w:rsidP="5F672671">
      <w:r>
        <w:t>RQ3: Multi-State Comparative Analysis</w:t>
      </w:r>
    </w:p>
    <w:p w14:paraId="6A3FBB5D" w14:textId="5A57D2A6" w:rsidR="1A3F394C" w:rsidRDefault="1A3F394C" w:rsidP="5F672671">
      <w:r>
        <w:t>Using the multi-state data set, we expanded our analysis to compare 10 states. The grouped bar chart below illustrates that several other states, like Washington, Tennessee, and Arizona, also have high clean power capacity. North Carolina ranks toward the top in both categories of capacity and clean energy jobs.</w:t>
      </w:r>
    </w:p>
    <w:p w14:paraId="30BF74B5" w14:textId="0B9DB05A" w:rsidR="1A3F394C" w:rsidRDefault="1A3F394C" w:rsidP="5F672671">
      <w:r>
        <w:t>SQ1: Clean Power and Unemployment Across States</w:t>
      </w:r>
    </w:p>
    <w:p w14:paraId="505BEAB3" w14:textId="759E164D" w:rsidR="1A3F394C" w:rsidRDefault="1A3F394C" w:rsidP="5F672671">
      <w:r>
        <w:t xml:space="preserve">When we compared states by clean power investment levels, we didn't see a dramatic difference in unemployment between high-capacity and low-capacity states. Most states clustered between 4.4% and 5.1% </w:t>
      </w:r>
      <w:r w:rsidR="2FC9F1C2">
        <w:t>of unemployment</w:t>
      </w:r>
      <w:r>
        <w:t>. That suggests to us that the clean power investment alone is not linked directly to the rate of unemployment, though perhaps it might support stronger economic conditions over time.</w:t>
      </w:r>
    </w:p>
    <w:p w14:paraId="00EF2E7E" w14:textId="688B8FEB" w:rsidR="1A3F394C" w:rsidRDefault="1A3F394C" w:rsidP="5F672671">
      <w:r>
        <w:t>SQ2 – Differences in Broader Economic Performance</w:t>
      </w:r>
    </w:p>
    <w:p w14:paraId="75BED6F3" w14:textId="2DDBF8F0" w:rsidR="1A3F394C" w:rsidRDefault="1A3F394C" w:rsidP="5F672671">
      <w:r>
        <w:t>Even though unemployment did not differ much, states with higher clean power capacity tended to have bigger labor forces and more jobs in clean energy. That makes sense because those states also have larger, more diversified economies. Clean energy seems to work as a supportive factor rather than a single driving force.</w:t>
      </w:r>
    </w:p>
    <w:p w14:paraId="08D9511B" w14:textId="298C42AB" w:rsidR="1A3F394C" w:rsidRDefault="1A3F394C" w:rsidP="5F672671">
      <w:r>
        <w:t>RQ3 Conclusion: Clean energy investment is associated with stronger labor markets but does not independently create lower unemployment. Rather, it synergizes with other economic strengths in each state.</w:t>
      </w:r>
    </w:p>
    <w:p w14:paraId="7F372598" w14:textId="540FA3BA" w:rsidR="1A3F394C" w:rsidRDefault="1A3F394C" w:rsidP="5F672671">
      <w:r>
        <w:t>Overall Takeaways from the Project</w:t>
      </w:r>
    </w:p>
    <w:p w14:paraId="6897657D" w14:textId="5A2DB8C0" w:rsidR="003C3882" w:rsidRDefault="003C3882" w:rsidP="003C3882">
      <w:r>
        <w:t xml:space="preserve">These data together demonstrate that clean energy growth and improved economic performance are highly correlated, both in North Carolina and in the broader multi-state comparison. North Carolina's rapid expansion of clean power capacity-more than tripling between 2014 and 2023-occurred in conjunction with consistent gains in statewide employment, rising GDP, and falling unemployment. The transition to cleaner energy did not hold back economic growth. On the contrary, the data </w:t>
      </w:r>
      <w:r>
        <w:t>suggests</w:t>
      </w:r>
      <w:r>
        <w:t xml:space="preserve"> that clean power development and economic improvement </w:t>
      </w:r>
      <w:r>
        <w:t>move</w:t>
      </w:r>
      <w:r>
        <w:t xml:space="preserve"> forward in tandem. Clean energy has emerged as a major employer in its own right, with jobs rising from approximately 80,000 to 110,000 over the </w:t>
      </w:r>
      <w:r>
        <w:t>decade and</w:t>
      </w:r>
      <w:r>
        <w:t xml:space="preserve"> now comprises more than 90% of all energy-related employment in the state.</w:t>
      </w:r>
      <w:r>
        <w:t xml:space="preserve"> </w:t>
      </w:r>
      <w:r>
        <w:t xml:space="preserve">Sectoral analysis certainly reveals a labor market that has shifted </w:t>
      </w:r>
      <w:r>
        <w:lastRenderedPageBreak/>
        <w:t xml:space="preserve">decisively. Throughout most counties, clean energy jobs rule, </w:t>
      </w:r>
      <w:r>
        <w:t>outnumbering</w:t>
      </w:r>
      <w:r>
        <w:t xml:space="preserve"> fossil energy jobs. While clean energy work has grown steadily throughout, the traditional fossil fuel energy jobs have continued their downward decline. Changes in these industries mirror larger nationwide trends; the shift </w:t>
      </w:r>
      <w:r>
        <w:t>is</w:t>
      </w:r>
      <w:r>
        <w:t xml:space="preserve"> more extreme within North Carolina, though, and its clean energy sector has </w:t>
      </w:r>
      <w:r>
        <w:t>become</w:t>
      </w:r>
      <w:r>
        <w:t xml:space="preserve"> the foundation of the state's energy workforce.</w:t>
      </w:r>
      <w:r>
        <w:t xml:space="preserve"> </w:t>
      </w:r>
      <w:r>
        <w:t xml:space="preserve">The multi-state comparison reinforces these themes. Though investment in clean power does </w:t>
      </w:r>
      <w:r>
        <w:t>not</w:t>
      </w:r>
      <w:r>
        <w:t xml:space="preserve"> correlate with appreciably lower unemployment rates, states with greater clean energy capacity tend to maintain more substantial labor forces, more diversified economies, and stronger job markets for clean energy. This would suggest that clean energy serves as a complementary economic strength, not a driver in and of itself. In other words, the more a state invests in clean power, the more likely it is to achieve broader economic benefits even while unemployment remains within the same range of variation across states.</w:t>
      </w:r>
      <w:r>
        <w:t xml:space="preserve"> </w:t>
      </w:r>
      <w:r>
        <w:t xml:space="preserve">Altogether, this research shows that the development of clean energy goes hand in hand with economic resilience, job creation, and long-term labor market performance. </w:t>
      </w:r>
      <w:r>
        <w:t>Repeatedly</w:t>
      </w:r>
      <w:r>
        <w:t xml:space="preserve">, the growth of clean power </w:t>
      </w:r>
      <w:r>
        <w:t>tracks</w:t>
      </w:r>
      <w:r>
        <w:t xml:space="preserve"> positive economic outcomes and further rather than disrupt state and regional economic development.</w:t>
      </w:r>
    </w:p>
    <w:p w14:paraId="5D42AB69" w14:textId="76826D3E" w:rsidR="1A3F394C" w:rsidRDefault="78168644" w:rsidP="5F672671">
      <w:pPr>
        <w:spacing w:after="0"/>
      </w:pPr>
      <w:r>
        <w:rPr>
          <w:noProof/>
        </w:rPr>
        <w:drawing>
          <wp:inline distT="0" distB="0" distL="0" distR="0" wp14:anchorId="7E1D082C" wp14:editId="5F78C161">
            <wp:extent cx="5486400" cy="3705225"/>
            <wp:effectExtent l="0" t="0" r="0" b="0"/>
            <wp:docPr id="1981765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5227" name="Picture 1981765227"/>
                    <pic:cNvPicPr/>
                  </pic:nvPicPr>
                  <pic:blipFill>
                    <a:blip r:embed="rId6">
                      <a:extLst>
                        <a:ext uri="{28A0092B-C50C-407E-A947-70E740481C1C}">
                          <a14:useLocalDpi xmlns:a14="http://schemas.microsoft.com/office/drawing/2010/main"/>
                        </a:ext>
                      </a:extLst>
                    </a:blip>
                    <a:stretch>
                      <a:fillRect/>
                    </a:stretch>
                  </pic:blipFill>
                  <pic:spPr>
                    <a:xfrm>
                      <a:off x="0" y="0"/>
                      <a:ext cx="5486400" cy="3705225"/>
                    </a:xfrm>
                    <a:prstGeom prst="rect">
                      <a:avLst/>
                    </a:prstGeom>
                  </pic:spPr>
                </pic:pic>
              </a:graphicData>
            </a:graphic>
          </wp:inline>
        </w:drawing>
      </w:r>
    </w:p>
    <w:p w14:paraId="42794DD4" w14:textId="2ADAFFC5" w:rsidR="78168644" w:rsidRDefault="78168644" w:rsidP="5F672671">
      <w:pPr>
        <w:spacing w:after="0"/>
      </w:pPr>
      <w:r>
        <w:rPr>
          <w:noProof/>
        </w:rPr>
        <w:lastRenderedPageBreak/>
        <w:drawing>
          <wp:inline distT="0" distB="0" distL="0" distR="0" wp14:anchorId="36F8DE2C" wp14:editId="3FCCCEBF">
            <wp:extent cx="5581650" cy="3420699"/>
            <wp:effectExtent l="0" t="0" r="0" b="0"/>
            <wp:docPr id="120033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8672" name="Picture 1200338672"/>
                    <pic:cNvPicPr/>
                  </pic:nvPicPr>
                  <pic:blipFill>
                    <a:blip r:embed="rId7">
                      <a:extLst>
                        <a:ext uri="{28A0092B-C50C-407E-A947-70E740481C1C}">
                          <a14:useLocalDpi xmlns:a14="http://schemas.microsoft.com/office/drawing/2010/main"/>
                        </a:ext>
                      </a:extLst>
                    </a:blip>
                    <a:stretch>
                      <a:fillRect/>
                    </a:stretch>
                  </pic:blipFill>
                  <pic:spPr>
                    <a:xfrm>
                      <a:off x="0" y="0"/>
                      <a:ext cx="5581650" cy="3420699"/>
                    </a:xfrm>
                    <a:prstGeom prst="rect">
                      <a:avLst/>
                    </a:prstGeom>
                  </pic:spPr>
                </pic:pic>
              </a:graphicData>
            </a:graphic>
          </wp:inline>
        </w:drawing>
      </w:r>
    </w:p>
    <w:p w14:paraId="4F8EF31E" w14:textId="68722250" w:rsidR="1CD845C8" w:rsidRDefault="1CD845C8" w:rsidP="5F672671">
      <w:r>
        <w:rPr>
          <w:noProof/>
        </w:rPr>
        <w:lastRenderedPageBreak/>
        <w:drawing>
          <wp:inline distT="0" distB="0" distL="0" distR="0" wp14:anchorId="03653021" wp14:editId="76634F82">
            <wp:extent cx="5943600" cy="4457700"/>
            <wp:effectExtent l="0" t="0" r="0" b="0"/>
            <wp:docPr id="2015372802" name="drawing" title="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2802" name="Picture 2015372802"/>
                    <pic:cNvPicPr/>
                  </pic:nvPicPr>
                  <pic:blipFill>
                    <a:blip r:embed="rId8">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rsidR="5F672671">
        <w:rPr>
          <w:noProof/>
        </w:rPr>
        <w:drawing>
          <wp:inline distT="0" distB="0" distL="0" distR="0" wp14:anchorId="311C29D3" wp14:editId="33326EF3">
            <wp:extent cx="5943600" cy="3581400"/>
            <wp:effectExtent l="0" t="0" r="0" b="0"/>
            <wp:docPr id="1410904914" name="drawing" title="A graph showing the growth of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4914" name="Picture 1410904914"/>
                    <pic:cNvPicPr/>
                  </pic:nvPicPr>
                  <pic:blipFill>
                    <a:blip r:embed="rId9">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Pr>
          <w:noProof/>
        </w:rPr>
        <w:lastRenderedPageBreak/>
        <w:drawing>
          <wp:inline distT="0" distB="0" distL="0" distR="0" wp14:anchorId="11E2B7B5" wp14:editId="2D5ADBBD">
            <wp:extent cx="5943600" cy="3581400"/>
            <wp:effectExtent l="0" t="0" r="0" b="0"/>
            <wp:docPr id="82010118" name="drawing" title="A graph showing the amount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0118" name="Picture 82010118"/>
                    <pic:cNvPicPr/>
                  </pic:nvPicPr>
                  <pic:blipFill>
                    <a:blip r:embed="rId10">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sectPr w:rsidR="1CD845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141650">
    <w:abstractNumId w:val="8"/>
  </w:num>
  <w:num w:numId="2" w16cid:durableId="2073581388">
    <w:abstractNumId w:val="6"/>
  </w:num>
  <w:num w:numId="3" w16cid:durableId="1554149895">
    <w:abstractNumId w:val="5"/>
  </w:num>
  <w:num w:numId="4" w16cid:durableId="1571114580">
    <w:abstractNumId w:val="4"/>
  </w:num>
  <w:num w:numId="5" w16cid:durableId="979043316">
    <w:abstractNumId w:val="7"/>
  </w:num>
  <w:num w:numId="6" w16cid:durableId="1992127104">
    <w:abstractNumId w:val="3"/>
  </w:num>
  <w:num w:numId="7" w16cid:durableId="1841506491">
    <w:abstractNumId w:val="2"/>
  </w:num>
  <w:num w:numId="8" w16cid:durableId="1252813745">
    <w:abstractNumId w:val="1"/>
  </w:num>
  <w:num w:numId="9" w16cid:durableId="130534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2DA"/>
    <w:rsid w:val="003C3882"/>
    <w:rsid w:val="005341CD"/>
    <w:rsid w:val="007845CB"/>
    <w:rsid w:val="00AA1D8D"/>
    <w:rsid w:val="00B47730"/>
    <w:rsid w:val="00CB0664"/>
    <w:rsid w:val="00DE514D"/>
    <w:rsid w:val="00F46E5C"/>
    <w:rsid w:val="00FC693F"/>
    <w:rsid w:val="03762526"/>
    <w:rsid w:val="0EE33000"/>
    <w:rsid w:val="1A3F394C"/>
    <w:rsid w:val="1CD845C8"/>
    <w:rsid w:val="205E38E2"/>
    <w:rsid w:val="29D809D7"/>
    <w:rsid w:val="2FC9F1C2"/>
    <w:rsid w:val="3347AAA3"/>
    <w:rsid w:val="342099B3"/>
    <w:rsid w:val="408CE85E"/>
    <w:rsid w:val="4A464C0A"/>
    <w:rsid w:val="4E3B1AF1"/>
    <w:rsid w:val="5C61795B"/>
    <w:rsid w:val="5F672671"/>
    <w:rsid w:val="68278357"/>
    <w:rsid w:val="69597E82"/>
    <w:rsid w:val="6F1E87EE"/>
    <w:rsid w:val="78168644"/>
    <w:rsid w:val="7BFF76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D81C8A-85EC-4F9C-8E54-12842D90D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1000</Words>
  <Characters>5704</Characters>
  <Application>Microsoft Office Word</Application>
  <DocSecurity>0</DocSecurity>
  <Lines>47</Lines>
  <Paragraphs>13</Paragraphs>
  <ScaleCrop>false</ScaleCrop>
  <Manager/>
  <Company/>
  <LinksUpToDate>false</LinksUpToDate>
  <CharactersWithSpaces>6691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Madish</cp:lastModifiedBy>
  <cp:revision>6</cp:revision>
  <dcterms:created xsi:type="dcterms:W3CDTF">2025-11-21T01:35:00Z</dcterms:created>
  <dcterms:modified xsi:type="dcterms:W3CDTF">2025-11-21T01:49:00Z</dcterms:modified>
  <cp:category/>
</cp:coreProperties>
</file>