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2984F" w14:textId="502F160A" w:rsidR="00D072FD" w:rsidRDefault="05A63B4A" w:rsidP="71D1988E">
      <w:pPr>
        <w:spacing w:after="0"/>
      </w:pPr>
      <w:r>
        <w:rPr>
          <w:noProof/>
        </w:rPr>
        <w:drawing>
          <wp:inline distT="0" distB="0" distL="0" distR="0" wp14:anchorId="01EF2019" wp14:editId="46DCB6B2">
            <wp:extent cx="5943600" cy="4019550"/>
            <wp:effectExtent l="0" t="0" r="0" b="0"/>
            <wp:docPr id="2658593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59336" name="Picture 2658593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1217" w14:textId="52B37C57" w:rsidR="00D072FD" w:rsidRDefault="33371C4A" w:rsidP="71D1988E">
      <w:pPr>
        <w:spacing w:before="240" w:after="240"/>
      </w:pPr>
      <w:r w:rsidRPr="71D1988E">
        <w:rPr>
          <w:rFonts w:ascii="Aptos" w:eastAsia="Aptos" w:hAnsi="Aptos" w:cs="Aptos"/>
        </w:rPr>
        <w:t xml:space="preserve">This chart compares clean energy and traditional fossil energy jobs across North Carolina's top three and bottom three counties. In every </w:t>
      </w:r>
      <w:r w:rsidR="0081498A" w:rsidRPr="71D1988E">
        <w:rPr>
          <w:rFonts w:ascii="Aptos" w:eastAsia="Aptos" w:hAnsi="Aptos" w:cs="Aptos"/>
        </w:rPr>
        <w:t>country</w:t>
      </w:r>
      <w:r w:rsidRPr="71D1988E">
        <w:rPr>
          <w:rFonts w:ascii="Aptos" w:eastAsia="Aptos" w:hAnsi="Aptos" w:cs="Aptos"/>
        </w:rPr>
        <w:t xml:space="preserve">, large or small, clean energy jobs overwhelmingly dominate, making up about </w:t>
      </w:r>
      <w:r w:rsidRPr="71D1988E">
        <w:rPr>
          <w:rFonts w:ascii="Aptos" w:eastAsia="Aptos" w:hAnsi="Aptos" w:cs="Aptos"/>
          <w:b/>
          <w:bCs/>
        </w:rPr>
        <w:t>92% of all energy employment</w:t>
      </w:r>
      <w:r w:rsidRPr="71D1988E">
        <w:rPr>
          <w:rFonts w:ascii="Aptos" w:eastAsia="Aptos" w:hAnsi="Aptos" w:cs="Aptos"/>
        </w:rPr>
        <w:t xml:space="preserve">. For instance, Mecklenburg, Wake, and Guilford all show very high clean-energy </w:t>
      </w:r>
      <w:r w:rsidR="0081498A" w:rsidRPr="71D1988E">
        <w:rPr>
          <w:rFonts w:ascii="Aptos" w:eastAsia="Aptos" w:hAnsi="Aptos" w:cs="Aptos"/>
        </w:rPr>
        <w:t>jobs</w:t>
      </w:r>
      <w:r w:rsidRPr="71D1988E">
        <w:rPr>
          <w:rFonts w:ascii="Aptos" w:eastAsia="Aptos" w:hAnsi="Aptos" w:cs="Aptos"/>
        </w:rPr>
        <w:t xml:space="preserve"> with only a small fraction coming from fossil jobs. Even in the lowest-</w:t>
      </w:r>
      <w:r w:rsidR="0081498A" w:rsidRPr="71D1988E">
        <w:rPr>
          <w:rFonts w:ascii="Aptos" w:eastAsia="Aptos" w:hAnsi="Aptos" w:cs="Aptos"/>
        </w:rPr>
        <w:t>employed</w:t>
      </w:r>
      <w:r w:rsidRPr="71D1988E">
        <w:rPr>
          <w:rFonts w:ascii="Aptos" w:eastAsia="Aptos" w:hAnsi="Aptos" w:cs="Aptos"/>
        </w:rPr>
        <w:t xml:space="preserve"> counties (Washington, Gates, and Tyrrell), the same pattern holds. Overall, the visual indicates that </w:t>
      </w:r>
      <w:r w:rsidRPr="71D1988E">
        <w:rPr>
          <w:rFonts w:ascii="Aptos" w:eastAsia="Aptos" w:hAnsi="Aptos" w:cs="Aptos"/>
          <w:b/>
          <w:bCs/>
        </w:rPr>
        <w:t xml:space="preserve">clean energy is the primary source </w:t>
      </w:r>
      <w:r w:rsidR="0081498A" w:rsidRPr="71D1988E">
        <w:rPr>
          <w:rFonts w:ascii="Aptos" w:eastAsia="Aptos" w:hAnsi="Aptos" w:cs="Aptos"/>
          <w:b/>
          <w:bCs/>
        </w:rPr>
        <w:t>of</w:t>
      </w:r>
      <w:r w:rsidRPr="71D1988E">
        <w:rPr>
          <w:rFonts w:ascii="Aptos" w:eastAsia="Aptos" w:hAnsi="Aptos" w:cs="Aptos"/>
          <w:b/>
          <w:bCs/>
        </w:rPr>
        <w:t xml:space="preserve"> employment statewide</w:t>
      </w:r>
      <w:r w:rsidRPr="71D1988E">
        <w:rPr>
          <w:rFonts w:ascii="Aptos" w:eastAsia="Aptos" w:hAnsi="Aptos" w:cs="Aptos"/>
        </w:rPr>
        <w:t>, regardless of the size of the county or total job levels.</w:t>
      </w:r>
    </w:p>
    <w:p w14:paraId="2C078E63" w14:textId="66F954B1" w:rsidR="00D072FD" w:rsidRDefault="00D072FD"/>
    <w:sectPr w:rsidR="00D07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3CE393"/>
    <w:rsid w:val="003632DA"/>
    <w:rsid w:val="0081498A"/>
    <w:rsid w:val="00D072FD"/>
    <w:rsid w:val="00F720FC"/>
    <w:rsid w:val="05A63B4A"/>
    <w:rsid w:val="1E3CE393"/>
    <w:rsid w:val="33371C4A"/>
    <w:rsid w:val="43C2F9F6"/>
    <w:rsid w:val="71D19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CE393"/>
  <w15:chartTrackingRefBased/>
  <w15:docId w15:val="{31ED5F5C-8C6D-495E-B7C1-0670D3964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Mink, John</dc:creator>
  <cp:keywords/>
  <dc:description/>
  <cp:lastModifiedBy>Morgan Madish</cp:lastModifiedBy>
  <cp:revision>3</cp:revision>
  <dcterms:created xsi:type="dcterms:W3CDTF">2025-11-21T01:54:00Z</dcterms:created>
  <dcterms:modified xsi:type="dcterms:W3CDTF">2025-11-21T01:54:00Z</dcterms:modified>
</cp:coreProperties>
</file>