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Major Trends in Artificial Intelligence: Research, Industry Adoption, and Tooling (2024–2025)</w:t>
      </w:r>
      <w:r/>
    </w:p>
    <w:p>
      <w:pPr>
        <w:pStyle w:val="Heading4"/>
      </w:pPr>
      <w:r>
        <w:t>Date: 17/08/2025</w:t>
      </w:r>
      <w:r/>
    </w:p>
    <w:p>
      <w:pPr>
        <w:pStyle w:val="Heading2"/>
      </w:pPr>
      <w:r>
        <w:t>Introduction</w:t>
      </w:r>
      <w:r/>
    </w:p>
    <w:p>
      <w:r/>
      <w:r>
        <w:t>The rapid evolution of artificial intelligence (AI) is reshaping industries and economies worldwide, marking a transformative era in technology and innovation. The global AI market is projected to expand dramatically, from $189 billion in 2023 to an astounding $4.8 trillion by 2033, signifying a 25-fold increase over a decade (</w:t>
      </w:r>
      <w:hyperlink r:id="rId9">
        <w:r>
          <w:rPr>
            <w:color w:val="0000EE"/>
            <w:u w:val="single"/>
          </w:rPr>
          <w:t>UNCTAD, 2025</w:t>
        </w:r>
      </w:hyperlink>
      <w:r>
        <w:t>). This growth positions AI as a dominant force in the frontier technology market, expected to account for 29% of the sector by 2033 (</w:t>
      </w:r>
      <w:hyperlink r:id="rId10">
        <w:r>
          <w:rPr>
            <w:color w:val="0000EE"/>
            <w:u w:val="single"/>
          </w:rPr>
          <w:t>UNCTAD, 2025</w:t>
        </w:r>
      </w:hyperlink>
      <w:r>
        <w:t>). However, this expansion is not uniform across the globe, with significant concentration in major economies like the United States and China, which together account for a substantial portion of global AI investment and research and development (</w:t>
      </w:r>
      <w:hyperlink r:id="rId11">
        <w:r>
          <w:rPr>
            <w:color w:val="0000EE"/>
            <w:u w:val="single"/>
          </w:rPr>
          <w:t>Vision IAS, 2025</w:t>
        </w:r>
      </w:hyperlink>
      <w:r>
        <w:t>).</w:t>
      </w:r>
      <w:r/>
    </w:p>
    <w:p>
      <w:r/>
      <w:r>
        <w:t>In parallel, technological advancements in AI are driving new research methodologies and capabilities. Cognitive AI systems and autonomous experimentation are revolutionizing scientific discovery, enabling self-driving laboratories to conduct complex experiments autonomously (</w:t>
      </w:r>
      <w:hyperlink r:id="rId12">
        <w:r>
          <w:rPr>
            <w:color w:val="0000EE"/>
            <w:u w:val="single"/>
          </w:rPr>
          <w:t>Scispot, 2025</w:t>
        </w:r>
      </w:hyperlink>
      <w:r>
        <w:t>). The integration of real-time data analytics and machine learning is further enhancing research efficiency and accuracy, democratizing access to high-level insights across various sectors (</w:t>
      </w:r>
      <w:hyperlink r:id="rId13">
        <w:r>
          <w:rPr>
            <w:color w:val="0000EE"/>
            <w:u w:val="single"/>
          </w:rPr>
          <w:t>NotedSource, 2025</w:t>
        </w:r>
      </w:hyperlink>
      <w:r>
        <w:t>).</w:t>
      </w:r>
      <w:r/>
    </w:p>
    <w:p>
      <w:r/>
      <w:r>
        <w:t>Despite these advancements, the rapid adoption of AI technologies raises significant governance, regulatory, and ethical challenges. Effective governance frameworks are essential to align with evolving regulations and ensure ethical leadership within organizations (</w:t>
      </w:r>
      <w:hyperlink r:id="rId14">
        <w:r>
          <w:rPr>
            <w:color w:val="0000EE"/>
            <w:u w:val="single"/>
          </w:rPr>
          <w:t>Diligent, 2025</w:t>
        </w:r>
      </w:hyperlink>
      <w:r>
        <w:t>). As AI continues to permeate various aspects of society, addressing these challenges is crucial to harnessing its full potential while mitigating risks associated with data privacy, algorithmic bias, and labor market disruptions (</w:t>
      </w:r>
      <w:hyperlink r:id="rId15">
        <w:r>
          <w:rPr>
            <w:color w:val="0000EE"/>
            <w:u w:val="single"/>
          </w:rPr>
          <w:t>TrustCloud, 2025</w:t>
        </w:r>
      </w:hyperlink>
      <w:r>
        <w:t>).</w:t>
      </w:r>
      <w:r/>
    </w:p>
    <w:p>
      <w:pPr>
        <w:pStyle w:val="Heading2"/>
      </w:pPr>
      <w:r>
        <w:t>Table of Contents</w:t>
      </w:r>
      <w:r/>
      <w:r/>
    </w:p>
    <w:p>
      <w:pPr>
        <w:pStyle w:val="ListBullet"/>
        <w:spacing w:line="240" w:lineRule="auto"/>
        <w:ind w:left="720"/>
      </w:pPr>
      <w:r/>
      <w:r>
        <w:t>AI Market Growth and Economic Impact</w:t>
      </w:r>
      <w:r/>
    </w:p>
    <w:p>
      <w:pPr>
        <w:pStyle w:val="ListBullet"/>
        <w:spacing w:line="240" w:lineRule="auto"/>
        <w:ind w:left="1440"/>
      </w:pPr>
      <w:r/>
      <w:r>
        <w:t>Global Market Expansion and Projections</w:t>
      </w:r>
      <w:r/>
    </w:p>
    <w:p>
      <w:pPr>
        <w:pStyle w:val="ListBullet"/>
        <w:spacing w:line="240" w:lineRule="auto"/>
        <w:ind w:left="1440"/>
      </w:pPr>
      <w:r/>
      <w:r>
        <w:t>Sectoral and Geographic Concentration</w:t>
      </w:r>
      <w:r/>
    </w:p>
    <w:p>
      <w:pPr>
        <w:pStyle w:val="ListBullet"/>
        <w:spacing w:line="240" w:lineRule="auto"/>
        <w:ind w:left="1440"/>
      </w:pPr>
      <w:r/>
      <w:r>
        <w:t>Economic Impact on Productivity and Labor</w:t>
      </w:r>
      <w:r/>
    </w:p>
    <w:p>
      <w:pPr>
        <w:pStyle w:val="ListBullet"/>
        <w:spacing w:line="240" w:lineRule="auto"/>
        <w:ind w:left="1440"/>
      </w:pPr>
      <w:r/>
      <w:r>
        <w:t>Investment Trends and Private Sector Dominance</w:t>
      </w:r>
      <w:r/>
    </w:p>
    <w:p>
      <w:pPr>
        <w:pStyle w:val="ListBullet"/>
        <w:spacing w:line="240" w:lineRule="auto"/>
        <w:ind w:left="1440"/>
      </w:pPr>
      <w:r/>
      <w:r>
        <w:t>Policy Implications and Inclusive Growth</w:t>
      </w:r>
      <w:r/>
      <w:r/>
      <w:r/>
    </w:p>
    <w:p>
      <w:pPr>
        <w:pStyle w:val="ListBullet"/>
        <w:spacing w:line="240" w:lineRule="auto"/>
        <w:ind w:left="720"/>
      </w:pPr>
      <w:r/>
      <w:r>
        <w:t>Research and Technological Advances</w:t>
      </w:r>
      <w:r/>
    </w:p>
    <w:p>
      <w:pPr>
        <w:pStyle w:val="ListBullet"/>
        <w:spacing w:line="240" w:lineRule="auto"/>
        <w:ind w:left="1440"/>
      </w:pPr>
      <w:r/>
      <w:r>
        <w:t>Cognitive AI Systems and Autonomous Experimentation</w:t>
      </w:r>
      <w:r/>
    </w:p>
    <w:p>
      <w:pPr>
        <w:pStyle w:val="ListBullet"/>
        <w:spacing w:line="240" w:lineRule="auto"/>
        <w:ind w:left="1440"/>
      </w:pPr>
      <w:r/>
      <w:r>
        <w:t>Real-Time Data Analytics and Pattern Recognition</w:t>
      </w:r>
      <w:r/>
    </w:p>
    <w:p>
      <w:pPr>
        <w:pStyle w:val="ListBullet"/>
        <w:spacing w:line="240" w:lineRule="auto"/>
        <w:ind w:left="1440"/>
      </w:pPr>
      <w:r/>
      <w:r>
        <w:t>Synergistic Integration of Automation and Machine Learning</w:t>
      </w:r>
      <w:r/>
    </w:p>
    <w:p>
      <w:pPr>
        <w:pStyle w:val="ListBullet"/>
        <w:spacing w:line="240" w:lineRule="auto"/>
        <w:ind w:left="1440"/>
      </w:pPr>
      <w:r/>
      <w:r>
        <w:t>Mobile Robotics and Human-Level Research Tasks</w:t>
      </w:r>
      <w:r/>
    </w:p>
    <w:p>
      <w:pPr>
        <w:pStyle w:val="ListBullet"/>
        <w:spacing w:line="240" w:lineRule="auto"/>
        <w:ind w:left="1440"/>
      </w:pPr>
      <w:r/>
      <w:r>
        <w:t>Sustainability-Driven Technological Innovations</w:t>
      </w:r>
      <w:r/>
      <w:r/>
      <w:r/>
    </w:p>
    <w:p>
      <w:pPr>
        <w:pStyle w:val="ListBullet"/>
        <w:spacing w:line="240" w:lineRule="auto"/>
        <w:ind w:left="720"/>
      </w:pPr>
      <w:r/>
      <w:r>
        <w:t>Governance, Regulation, and Ethical Concerns</w:t>
      </w:r>
      <w:r/>
    </w:p>
    <w:p>
      <w:pPr>
        <w:pStyle w:val="ListBullet"/>
        <w:spacing w:line="240" w:lineRule="auto"/>
        <w:ind w:left="1440"/>
      </w:pPr>
      <w:r/>
      <w:r>
        <w:t>Board Oversight and Regulatory Alignment</w:t>
      </w:r>
      <w:r/>
    </w:p>
    <w:p>
      <w:pPr>
        <w:pStyle w:val="ListBullet"/>
        <w:spacing w:line="240" w:lineRule="auto"/>
        <w:ind w:left="1440"/>
      </w:pPr>
      <w:r/>
      <w:r>
        <w:t>Ethical Leadership and Organizational Integrity</w:t>
      </w:r>
      <w:r/>
    </w:p>
    <w:p>
      <w:pPr>
        <w:pStyle w:val="ListBullet"/>
        <w:spacing w:line="240" w:lineRule="auto"/>
        <w:ind w:left="1440"/>
      </w:pPr>
      <w:r/>
      <w:r>
        <w:t>Regulatory Compliance and Risk Mitigation</w:t>
      </w:r>
      <w:r/>
    </w:p>
    <w:p>
      <w:pPr>
        <w:pStyle w:val="ListBullet"/>
        <w:spacing w:line="240" w:lineRule="auto"/>
        <w:ind w:left="1440"/>
      </w:pPr>
      <w:r/>
      <w:r>
        <w:t>Stakeholder Engagement and Transparency</w:t>
      </w:r>
      <w:r/>
    </w:p>
    <w:p>
      <w:pPr>
        <w:pStyle w:val="ListBullet"/>
        <w:spacing w:line="240" w:lineRule="auto"/>
        <w:ind w:left="1440"/>
      </w:pPr>
      <w:r/>
      <w:r>
        <w:t>Technological Advancements and Ethical Challenges</w:t>
      </w:r>
      <w:r/>
      <w:r/>
      <w:r/>
      <w:r/>
    </w:p>
    <w:p>
      <w:pPr>
        <w:pStyle w:val="Heading2"/>
      </w:pPr>
      <w:r>
        <w:t>AI Market Growth and Economic Impact</w:t>
      </w:r>
      <w:r/>
    </w:p>
    <w:p>
      <w:pPr>
        <w:pStyle w:val="Heading3"/>
      </w:pPr>
      <w:r>
        <w:t>Global Market Expansion and Projections</w:t>
      </w:r>
      <w:r/>
    </w:p>
    <w:p>
      <w:r/>
      <w:r>
        <w:t>Artificial intelligence (AI) is experiencing rapid market expansion, with the global AI market projected to grow from $189 billion in 2023 to $4.8 trillion by 2033—a 25-fold increase within a decade (</w:t>
      </w:r>
      <w:hyperlink r:id="rId9">
        <w:r>
          <w:rPr>
            <w:color w:val="0000EE"/>
            <w:u w:val="single"/>
          </w:rPr>
          <w:t>UNCTAD, 2025</w:t>
        </w:r>
      </w:hyperlink>
      <w:r>
        <w:t>). By 2033, AI is expected to account for 29% of the global frontier technology market, up from 7% in 2023, positioning it as the dominant force among emerging technologies (</w:t>
      </w:r>
      <w:hyperlink r:id="rId10">
        <w:r>
          <w:rPr>
            <w:color w:val="0000EE"/>
            <w:u w:val="single"/>
          </w:rPr>
          <w:t>UNCTAD, 2025</w:t>
        </w:r>
      </w:hyperlink>
      <w:r>
        <w:t>). This growth is concentrated in a few major economies and large firms, with the United States responsible for 70% of global private AI investment and 40% of global corporate R&amp;D spending originating from just 100 firms, primarily in the US and China (</w:t>
      </w:r>
      <w:hyperlink r:id="rId11">
        <w:r>
          <w:rPr>
            <w:color w:val="0000EE"/>
            <w:u w:val="single"/>
          </w:rPr>
          <w:t>Vision IAS, 2025</w:t>
        </w:r>
      </w:hyperlink>
      <w:r>
        <w:t>).</w:t>
      </w:r>
      <w:r/>
    </w:p>
    <w:tbl>
      <w:tblPr>
        <w:tblW w:type="auto" w:w="0"/>
        <w:tblLook w:firstColumn="1" w:firstRow="1" w:lastColumn="0" w:lastRow="0" w:noHBand="0" w:noVBand="1" w:val="04A0"/>
      </w:tblPr>
      <w:tblGrid>
        <w:gridCol w:w="2880"/>
        <w:gridCol w:w="2880"/>
        <w:gridCol w:w="2880"/>
      </w:tblGrid>
      <w:tr>
        <w:tc>
          <w:tcPr>
            <w:tcW w:type="dxa" w:w="2880"/>
          </w:tcPr>
          <w:p>
            <w:r>
              <w:rPr>
                <w:b/>
              </w:rPr>
              <w:t>Year</w:t>
            </w:r>
          </w:p>
        </w:tc>
        <w:tc>
          <w:tcPr>
            <w:tcW w:type="dxa" w:w="2880"/>
          </w:tcPr>
          <w:p>
            <w:r>
              <w:rPr>
                <w:b/>
              </w:rPr>
              <w:t>Global AI Market Value (USD)</w:t>
            </w:r>
          </w:p>
        </w:tc>
        <w:tc>
          <w:tcPr>
            <w:tcW w:type="dxa" w:w="2880"/>
          </w:tcPr>
          <w:p>
            <w:r>
              <w:rPr>
                <w:b/>
              </w:rPr>
              <w:t>Share of Frontier Tech Market</w:t>
            </w:r>
          </w:p>
        </w:tc>
      </w:tr>
      <w:tr>
        <w:tc>
          <w:tcPr>
            <w:tcW w:type="dxa" w:w="2880"/>
          </w:tcPr>
          <w:p>
            <w:r>
              <w:t>2023</w:t>
            </w:r>
          </w:p>
        </w:tc>
        <w:tc>
          <w:tcPr>
            <w:tcW w:type="dxa" w:w="2880"/>
          </w:tcPr>
          <w:p>
            <w:r>
              <w:t>$189 billion</w:t>
            </w:r>
          </w:p>
        </w:tc>
        <w:tc>
          <w:tcPr>
            <w:tcW w:type="dxa" w:w="2880"/>
          </w:tcPr>
          <w:p>
            <w:r>
              <w:t>7%</w:t>
            </w:r>
          </w:p>
        </w:tc>
      </w:tr>
      <w:tr>
        <w:tc>
          <w:tcPr>
            <w:tcW w:type="dxa" w:w="2880"/>
          </w:tcPr>
          <w:p>
            <w:r>
              <w:t>2033</w:t>
            </w:r>
          </w:p>
        </w:tc>
        <w:tc>
          <w:tcPr>
            <w:tcW w:type="dxa" w:w="2880"/>
          </w:tcPr>
          <w:p>
            <w:r>
              <w:t>$4.8 trillion</w:t>
            </w:r>
          </w:p>
        </w:tc>
        <w:tc>
          <w:tcPr>
            <w:tcW w:type="dxa" w:w="2880"/>
          </w:tcPr>
          <w:p>
            <w:r>
              <w:t>29%</w:t>
            </w:r>
          </w:p>
        </w:tc>
      </w:tr>
    </w:tbl>
    <w:p>
      <w:r/>
    </w:p>
    <w:p>
      <w:pPr>
        <w:pStyle w:val="Heading3"/>
      </w:pPr>
      <w:r>
        <w:t>Sectoral and Geographic Concentration</w:t>
      </w:r>
      <w:r/>
    </w:p>
    <w:p>
      <w:r/>
      <w:r>
        <w:t>The adoption of AI remains highly concentrated among larger and younger businesses in select sectors, such as technology, finance, and manufacturing. Only about 5% of U.S. businesses currently utilize AI for production, largely due to high customization and implementation costs (</w:t>
      </w:r>
      <w:hyperlink r:id="rId16">
        <w:r>
          <w:rPr>
            <w:color w:val="0000EE"/>
            <w:u w:val="single"/>
          </w:rPr>
          <w:t>CBO, 2024</w:t>
        </w:r>
      </w:hyperlink>
      <w:r>
        <w:t>). This concentration is mirrored globally, where less than one-third of developing countries have established AI strategies and 118 countries lack representation in major AI governance forums (</w:t>
      </w:r>
      <w:hyperlink r:id="rId10">
        <w:r>
          <w:rPr>
            <w:color w:val="0000EE"/>
            <w:u w:val="single"/>
          </w:rPr>
          <w:t>UNCTAD, 2025</w:t>
        </w:r>
      </w:hyperlink>
      <w:r>
        <w:t>). The lack of digital infrastructure and skilled workforce in many regions poses significant barriers to broader adoption and equitable benefit distribution.</w:t>
      </w:r>
      <w:r/>
    </w:p>
    <w:p>
      <w:pPr>
        <w:pStyle w:val="Heading3"/>
      </w:pPr>
      <w:r>
        <w:t>Economic Impact on Productivity and Labor</w:t>
      </w:r>
      <w:r/>
    </w:p>
    <w:p>
      <w:r/>
      <w:r>
        <w:t>AI is recognized for its potential to enhance productivity by automating tasks, identifying patterns, and enabling the development of new products and services. Preliminary research indicates that AI adoption can boost productivity, particularly for businesses that successfully integrate the technology (</w:t>
      </w:r>
      <w:hyperlink r:id="rId16">
        <w:r>
          <w:rPr>
            <w:color w:val="0000EE"/>
            <w:u w:val="single"/>
          </w:rPr>
          <w:t>CBO, 2024</w:t>
        </w:r>
      </w:hyperlink>
      <w:r>
        <w:t>). Generative AI, for example, has demonstrated the ability to improve the output of low-skilled workers, potentially narrowing wage gaps. However, the broader economic impact remains uncertain due to limited adoption and the nascent stage of research on long-term effects.</w:t>
      </w:r>
      <w:r/>
    </w:p>
    <w:p>
      <w:r/>
      <w:r>
        <w:t>AI’s influence on labor markets is significant, with estimates suggesting that up to 40% of global jobs could be impacted, necessitating proactive labor policies to address potential displacement and reskilling needs (</w:t>
      </w:r>
      <w:hyperlink r:id="rId10">
        <w:r>
          <w:rPr>
            <w:color w:val="0000EE"/>
            <w:u w:val="single"/>
          </w:rPr>
          <w:t>UNCTAD, 2025</w:t>
        </w:r>
      </w:hyperlink>
      <w:r>
        <w:t>). The distribution of productivity gains and wage effects varies by sector and skill level, with some skilled workers experiencing wage increases while others, particularly those in routine or automatable roles, may face job losses or downward wage pressure.</w:t>
      </w:r>
      <w:r/>
    </w:p>
    <w:p>
      <w:pPr>
        <w:pStyle w:val="Heading3"/>
      </w:pPr>
      <w:r>
        <w:t>Investment Trends and Private Sector Dominance</w:t>
      </w:r>
      <w:r/>
    </w:p>
    <w:p>
      <w:r/>
      <w:r>
        <w:t>Recent years have seen record levels of private investment in AI, with industry now producing nearly 90% of notable AI models in 2024, up from 60% in 2023 (</w:t>
      </w:r>
      <w:hyperlink r:id="rId17">
        <w:r>
          <w:rPr>
            <w:color w:val="0000EE"/>
            <w:u w:val="single"/>
          </w:rPr>
          <w:t>Stanford HAI, 2025</w:t>
        </w:r>
      </w:hyperlink>
      <w:r>
        <w:t>). This shift underscores the growing dominance of the private sector in shaping AI’s trajectory, as academic institutions often lack the resources and infrastructure to compete at scale. The concentration of investment and innovation within a small number of firms and countries raises concerns about the equitable distribution of AI’s economic benefits.</w:t>
      </w:r>
      <w:r/>
    </w:p>
    <w:tbl>
      <w:tblPr>
        <w:tblW w:type="auto" w:w="0"/>
        <w:tblLook w:firstColumn="1" w:firstRow="1" w:lastColumn="0" w:lastRow="0" w:noHBand="0" w:noVBand="1" w:val="04A0"/>
      </w:tblPr>
      <w:tblGrid>
        <w:gridCol w:w="4320"/>
        <w:gridCol w:w="4320"/>
      </w:tblGrid>
      <w:tr>
        <w:tc>
          <w:tcPr>
            <w:tcW w:type="dxa" w:w="4320"/>
          </w:tcPr>
          <w:p>
            <w:r>
              <w:rPr>
                <w:b/>
              </w:rPr>
              <w:t>Year</w:t>
            </w:r>
          </w:p>
        </w:tc>
        <w:tc>
          <w:tcPr>
            <w:tcW w:type="dxa" w:w="4320"/>
          </w:tcPr>
          <w:p>
            <w:r>
              <w:rPr>
                <w:b/>
              </w:rPr>
              <w:t>% of Notable AI Models Produced by Industry</w:t>
            </w:r>
          </w:p>
        </w:tc>
      </w:tr>
      <w:tr>
        <w:tc>
          <w:tcPr>
            <w:tcW w:type="dxa" w:w="4320"/>
          </w:tcPr>
          <w:p>
            <w:r>
              <w:t>2023</w:t>
            </w:r>
          </w:p>
        </w:tc>
        <w:tc>
          <w:tcPr>
            <w:tcW w:type="dxa" w:w="4320"/>
          </w:tcPr>
          <w:p>
            <w:r>
              <w:t>60%</w:t>
            </w:r>
          </w:p>
        </w:tc>
      </w:tr>
      <w:tr>
        <w:tc>
          <w:tcPr>
            <w:tcW w:type="dxa" w:w="4320"/>
          </w:tcPr>
          <w:p>
            <w:r>
              <w:t>2024</w:t>
            </w:r>
          </w:p>
        </w:tc>
        <w:tc>
          <w:tcPr>
            <w:tcW w:type="dxa" w:w="4320"/>
          </w:tcPr>
          <w:p>
            <w:r>
              <w:t>90%</w:t>
            </w:r>
          </w:p>
        </w:tc>
      </w:tr>
    </w:tbl>
    <w:p>
      <w:r/>
    </w:p>
    <w:p>
      <w:pPr>
        <w:pStyle w:val="Heading3"/>
      </w:pPr>
      <w:r>
        <w:t>Policy Implications and Inclusive Growth</w:t>
      </w:r>
      <w:r/>
    </w:p>
    <w:p>
      <w:r/>
      <w:r>
        <w:t>The rapid expansion of the AI market and its economic impact highlight the need for inclusive governance and strategic investment in digital infrastructure, skills development, and regulatory frameworks. International organizations such as UNCTAD emphasize the importance of people-centered AI development and global cooperation to ensure that the benefits of AI are widely shared and do not exacerbate existing inequalities (</w:t>
      </w:r>
      <w:hyperlink r:id="rId10">
        <w:r>
          <w:rPr>
            <w:color w:val="0000EE"/>
            <w:u w:val="single"/>
          </w:rPr>
          <w:t>UNCTAD, 2025</w:t>
        </w:r>
      </w:hyperlink>
      <w:r>
        <w:t>). Policy recommendations include the creation of public disclosure mechanisms for AI accountability, investment in local digital infrastructure, and the inclusion of developing countries in global AI governance discussions.</w:t>
      </w:r>
      <w:r/>
    </w:p>
    <w:p>
      <w:pPr>
        <w:pStyle w:val="Heading2"/>
      </w:pPr>
      <w:r>
        <w:t>Research and Technological Advances</w:t>
      </w:r>
      <w:r/>
    </w:p>
    <w:p>
      <w:pPr>
        <w:pStyle w:val="Heading3"/>
      </w:pPr>
      <w:r>
        <w:t>Cognitive AI Systems and Autonomous Experimentation</w:t>
      </w:r>
      <w:r/>
    </w:p>
    <w:p>
      <w:r/>
      <w:r>
        <w:t>Recent advances in cognitive artificial intelligence (AI) have enabled the development of self-driving laboratories capable of autonomous experimentation. These systems leverage agentic AI to not only execute but also design experiments, learning and optimizing processes in real-time without continuous human oversight. For example, research teams have demonstrated AI-directed robotics labs that can autonomously optimize complex chemical processes, such as the rapid optimization of photocatalytic hydrogen generation, completing hundreds of experiments in days—a task that would take humans weeks or months (</w:t>
      </w:r>
      <w:hyperlink r:id="rId12">
        <w:r>
          <w:rPr>
            <w:color w:val="0000EE"/>
            <w:u w:val="single"/>
          </w:rPr>
          <w:t>Scispot, 2025</w:t>
        </w:r>
      </w:hyperlink>
      <w:r>
        <w:t>). This marks a shift from automation of routine tasks to true machine-driven scientific discovery.</w:t>
      </w:r>
      <w:r/>
    </w:p>
    <w:p>
      <w:pPr>
        <w:pStyle w:val="Heading3"/>
      </w:pPr>
      <w:r>
        <w:t>Real-Time Data Analytics and Pattern Recognition</w:t>
      </w:r>
      <w:r/>
    </w:p>
    <w:p>
      <w:r/>
      <w:r>
        <w:t>The integration of advanced data analytics tools allows researchers to process and interpret large, complex datasets in real-time. These tools are particularly transformative in fields like genomics, where they help identify genetic variants associated with diseases by analyzing vast sequencing data. The ability to uncover hidden relationships between variables and recognize patterns accelerates hypothesis generation and experimental refinement. AI-powered analytics are also being used to predict trends and automate decision-making, democratizing access to high-level data insights across organizations of varying sizes (</w:t>
      </w:r>
      <w:hyperlink r:id="rId13">
        <w:r>
          <w:rPr>
            <w:color w:val="0000EE"/>
            <w:u w:val="single"/>
          </w:rPr>
          <w:t>NotedSource, 2025</w:t>
        </w:r>
      </w:hyperlink>
      <w:r>
        <w:t xml:space="preserve">; </w:t>
      </w:r>
      <w:hyperlink r:id="rId18">
        <w:r>
          <w:rPr>
            <w:color w:val="0000EE"/>
            <w:u w:val="single"/>
          </w:rPr>
          <w:t>DataHub Analytics, 2025</w:t>
        </w:r>
      </w:hyperlink>
      <w:r>
        <w:t>).</w:t>
      </w:r>
      <w:r/>
    </w:p>
    <w:p>
      <w:pPr>
        <w:pStyle w:val="Heading3"/>
      </w:pPr>
      <w:r>
        <w:t>Synergistic Integration of Automation and Machine Learning</w:t>
      </w:r>
      <w:r/>
    </w:p>
    <w:p>
      <w:r/>
      <w:r>
        <w:t>The convergence of AI, machine learning, lab automation, and data analytics is reshaping research methodologies. By combining automated laboratory equipment with AI-driven data analysis, experimental conditions can be dynamically optimized, improving both the efficiency and quality of research outputs. Machine learning algorithms process the massive data streams generated by automated experiments, enabling rapid iteration and refinement of experimental designs. This synergy also supports the rise of in silico experimentation, where computational models and simulations either supplement or replace traditional wet-lab work, reducing costs and resource requirements (</w:t>
      </w:r>
      <w:hyperlink r:id="rId13">
        <w:r>
          <w:rPr>
            <w:color w:val="0000EE"/>
            <w:u w:val="single"/>
          </w:rPr>
          <w:t>NotedSource, 2025</w:t>
        </w:r>
      </w:hyperlink>
      <w:r>
        <w:t>).</w:t>
      </w:r>
      <w:r/>
    </w:p>
    <w:p>
      <w:pPr>
        <w:pStyle w:val="Heading3"/>
      </w:pPr>
      <w:r>
        <w:t>Mobile Robotics and Human-Level Research Tasks</w:t>
      </w:r>
      <w:r/>
    </w:p>
    <w:p>
      <w:r/>
      <w:r>
        <w:t>A notable technological leap is the deployment of mobile robotic platforms capable of performing research tasks at a level comparable to human scientists. For instance, mobile robots equipped with AI logic can autonomously navigate laboratory environments, make experimental decisions, and conduct exploratory research. These systems have been shown to conduct complex chemical syntheses and analyses with a speed and accuracy that surpasses traditional manual approaches. The democratization of such advanced research capabilities is expected to accelerate discovery and broaden access to high-throughput experimentation (</w:t>
      </w:r>
      <w:hyperlink r:id="rId12">
        <w:r>
          <w:rPr>
            <w:color w:val="0000EE"/>
            <w:u w:val="single"/>
          </w:rPr>
          <w:t>Scispot, 2025</w:t>
        </w:r>
      </w:hyperlink>
      <w:r>
        <w:t>).</w:t>
      </w:r>
      <w:r/>
    </w:p>
    <w:p>
      <w:pPr>
        <w:pStyle w:val="Heading3"/>
      </w:pPr>
      <w:r>
        <w:t>Sustainability-Driven Technological Innovations</w:t>
      </w:r>
      <w:r/>
    </w:p>
    <w:p>
      <w:r/>
      <w:r>
        <w:t>Technological advances are also driving sustainability in laboratory research. The adoption of energy-efficient equipment, waste reduction protocols, and greener laboratory processes is becoming standard practice. These initiatives are motivated by both environmental goals and the pursuit of long-term operational savings. As laboratories increasingly align with sustainability objectives, technological solutions that minimize resource consumption and environmental impact are being prioritized in research infrastructure upgrades (</w:t>
      </w:r>
      <w:hyperlink r:id="rId12">
        <w:r>
          <w:rPr>
            <w:color w:val="0000EE"/>
            <w:u w:val="single"/>
          </w:rPr>
          <w:t>Scispot, 2025</w:t>
        </w:r>
      </w:hyperlink>
      <w:r>
        <w:t>).</w:t>
      </w:r>
      <w:r/>
    </w:p>
    <w:p>
      <w:pPr>
        <w:pStyle w:val="Heading2"/>
      </w:pPr>
      <w:r>
        <w:t>Governance, Regulation, and Ethical Concerns</w:t>
      </w:r>
      <w:r/>
    </w:p>
    <w:p>
      <w:pPr>
        <w:pStyle w:val="Heading3"/>
      </w:pPr>
      <w:r>
        <w:t>Board Oversight and Regulatory Alignment</w:t>
      </w:r>
      <w:r/>
    </w:p>
    <w:p>
      <w:r/>
      <w:r>
        <w:t>Effective governance requires robust oversight mechanisms that ensure alignment with evolving regulatory landscapes. Boards of directors play a pivotal role in setting strategic direction, approving risk management frameworks, and monitoring compliance with both domestic and international regulations. The integration of governance, risk, and compliance (GRC) structures enables organizations to adapt to regulatory changes, such as updates to data privacy laws or industry-specific mandates, by centralizing compliance monitoring and facilitating timely responses to new requirements (</w:t>
      </w:r>
      <w:hyperlink r:id="rId14">
        <w:r>
          <w:rPr>
            <w:color w:val="0000EE"/>
            <w:u w:val="single"/>
          </w:rPr>
          <w:t>Diligent, 2025</w:t>
        </w:r>
      </w:hyperlink>
      <w:r>
        <w:t>). This structured approach not only mitigates legal and financial risks but also enhances transparency and accountability at all organizational levels.</w:t>
      </w:r>
      <w:r/>
    </w:p>
    <w:tbl>
      <w:tblPr>
        <w:tblW w:type="auto" w:w="0"/>
        <w:tblLook w:firstColumn="1" w:firstRow="1" w:lastColumn="0" w:lastRow="0" w:noHBand="0" w:noVBand="1" w:val="04A0"/>
      </w:tblPr>
      <w:tblGrid>
        <w:gridCol w:w="2880"/>
        <w:gridCol w:w="2880"/>
        <w:gridCol w:w="2880"/>
      </w:tblGrid>
      <w:tr>
        <w:tc>
          <w:tcPr>
            <w:tcW w:type="dxa" w:w="2880"/>
          </w:tcPr>
          <w:p>
            <w:r>
              <w:rPr>
                <w:b/>
              </w:rPr>
              <w:t>Regulatory Focus Area</w:t>
            </w:r>
          </w:p>
        </w:tc>
        <w:tc>
          <w:tcPr>
            <w:tcW w:type="dxa" w:w="2880"/>
          </w:tcPr>
          <w:p>
            <w:r>
              <w:rPr>
                <w:b/>
              </w:rPr>
              <w:t>Board Responsibility</w:t>
            </w:r>
          </w:p>
        </w:tc>
        <w:tc>
          <w:tcPr>
            <w:tcW w:type="dxa" w:w="2880"/>
          </w:tcPr>
          <w:p>
            <w:r>
              <w:rPr>
                <w:b/>
              </w:rPr>
              <w:t>GRC Impact</w:t>
            </w:r>
          </w:p>
        </w:tc>
      </w:tr>
      <w:tr>
        <w:tc>
          <w:tcPr>
            <w:tcW w:type="dxa" w:w="2880"/>
          </w:tcPr>
          <w:p>
            <w:r>
              <w:t>Data Privacy (e.g., GDPR)</w:t>
            </w:r>
          </w:p>
        </w:tc>
        <w:tc>
          <w:tcPr>
            <w:tcW w:type="dxa" w:w="2880"/>
          </w:tcPr>
          <w:p>
            <w:r>
              <w:t>Policy approval, oversight</w:t>
            </w:r>
          </w:p>
        </w:tc>
        <w:tc>
          <w:tcPr>
            <w:tcW w:type="dxa" w:w="2880"/>
          </w:tcPr>
          <w:p>
            <w:r>
              <w:t>Centralized compliance checks</w:t>
            </w:r>
          </w:p>
        </w:tc>
      </w:tr>
      <w:tr>
        <w:tc>
          <w:tcPr>
            <w:tcW w:type="dxa" w:w="2880"/>
          </w:tcPr>
          <w:p>
            <w:r>
              <w:t>Financial Reporting</w:t>
            </w:r>
          </w:p>
        </w:tc>
        <w:tc>
          <w:tcPr>
            <w:tcW w:type="dxa" w:w="2880"/>
          </w:tcPr>
          <w:p>
            <w:r>
              <w:t>Audit committee supervision</w:t>
            </w:r>
          </w:p>
        </w:tc>
        <w:tc>
          <w:tcPr>
            <w:tcW w:type="dxa" w:w="2880"/>
          </w:tcPr>
          <w:p>
            <w:r>
              <w:t>Automated risk assessments</w:t>
            </w:r>
          </w:p>
        </w:tc>
      </w:tr>
      <w:tr>
        <w:tc>
          <w:tcPr>
            <w:tcW w:type="dxa" w:w="2880"/>
          </w:tcPr>
          <w:p>
            <w:r>
              <w:t>Industry Standards</w:t>
            </w:r>
          </w:p>
        </w:tc>
        <w:tc>
          <w:tcPr>
            <w:tcW w:type="dxa" w:w="2880"/>
          </w:tcPr>
          <w:p>
            <w:r>
              <w:t>Strategic alignment</w:t>
            </w:r>
          </w:p>
        </w:tc>
        <w:tc>
          <w:tcPr>
            <w:tcW w:type="dxa" w:w="2880"/>
          </w:tcPr>
          <w:p>
            <w:r>
              <w:t>Streamlined reporting</w:t>
            </w:r>
          </w:p>
        </w:tc>
      </w:tr>
    </w:tbl>
    <w:p>
      <w:r/>
    </w:p>
    <w:p>
      <w:pPr>
        <w:pStyle w:val="Heading3"/>
      </w:pPr>
      <w:r>
        <w:t>Ethical Leadership and Organizational Integrity</w:t>
      </w:r>
      <w:r/>
    </w:p>
    <w:p>
      <w:r/>
      <w:r>
        <w:t>Ethical leadership is integral to fostering a culture of integrity and responsible conduct. Leaders set the tone by modeling ethical behavior, which cascades throughout the organization and influences employee actions and decision-making processes. Research indicates that organizations with strong ethical leadership and governance frameworks experience lower rates of misconduct, increased employee engagement, and enhanced stakeholder trust (</w:t>
      </w:r>
      <w:hyperlink r:id="rId19">
        <w:r>
          <w:rPr>
            <w:color w:val="0000EE"/>
            <w:u w:val="single"/>
          </w:rPr>
          <w:t>IJFMR, 2025</w:t>
        </w:r>
      </w:hyperlink>
      <w:r>
        <w:t>). Ethical leaders are exemplars of integrity, honesty, and accountability, creating a ripple effect that shapes organizational culture and supports long-term sustainability.</w:t>
      </w:r>
      <w:r/>
    </w:p>
    <w:p>
      <w:pPr>
        <w:pStyle w:val="Heading3"/>
      </w:pPr>
      <w:r>
        <w:t>Regulatory Compliance and Risk Mitigation</w:t>
      </w:r>
      <w:r/>
    </w:p>
    <w:p>
      <w:r/>
      <w:r>
        <w:t>Centralizing regulatory compliance within a GRC framework streamlines the identification, assessment, and mitigation of risks. This approach reduces the likelihood of non-compliance, which can result in significant financial penalties, reputational damage, and operational disruptions. According to recent research, only 53% of organizations report having mature GRC programs, highlighting a gap and opportunity for improvement in regulatory adherence (</w:t>
      </w:r>
      <w:hyperlink r:id="rId20">
        <w:r>
          <w:rPr>
            <w:color w:val="0000EE"/>
            <w:u w:val="single"/>
          </w:rPr>
          <w:t>Kraft Business, 2025</w:t>
        </w:r>
      </w:hyperlink>
      <w:r>
        <w:t>). By leveraging enterprise GRC software and compliance tools, organizations can automate compliance tracking, maintain audit trails, and ensure that controls remain effective and up to date.</w:t>
      </w:r>
      <w:r/>
    </w:p>
    <w:p>
      <w:pPr>
        <w:pStyle w:val="Heading3"/>
      </w:pPr>
      <w:r>
        <w:t>Stakeholder Engagement and Transparency</w:t>
      </w:r>
      <w:r/>
    </w:p>
    <w:p>
      <w:r/>
      <w:r>
        <w:t>Modern governance emphasizes proactive engagement with a broad range of stakeholders, including shareholders, employees, customers, and regulators. Transparent communication and inclusive decision-making processes are essential for building trust and maintaining organizational legitimacy. Companies that prioritize stakeholder interests—by considering environmental, social, and governance (ESG) factors—are better positioned to anticipate regulatory shifts and societal expectations, thereby reducing the risk of conflict and enhancing long-term value creation (</w:t>
      </w:r>
      <w:hyperlink r:id="rId21">
        <w:r>
          <w:rPr>
            <w:color w:val="0000EE"/>
            <w:u w:val="single"/>
          </w:rPr>
          <w:t>SCU, 2025</w:t>
        </w:r>
      </w:hyperlink>
      <w:r>
        <w:t>).</w:t>
      </w:r>
      <w:r/>
    </w:p>
    <w:p>
      <w:pPr>
        <w:pStyle w:val="Heading3"/>
      </w:pPr>
      <w:r>
        <w:t>Technological Advancements and Ethical Challenges</w:t>
      </w:r>
      <w:r/>
    </w:p>
    <w:p>
      <w:r/>
      <w:r>
        <w:t>The adoption of advanced technologies, such as artificial intelligence and automated compliance systems, introduces new ethical and regulatory challenges. While these tools can enhance efficiency and accuracy in governance and compliance processes, they also raise concerns regarding data privacy, algorithmic bias, and accountability for automated decisions. Organizations must establish clear ethical guidelines for technology use, conduct regular audits of automated systems, and ensure compliance with relevant regulations to mitigate emerging risks (</w:t>
      </w:r>
      <w:hyperlink r:id="rId15">
        <w:r>
          <w:rPr>
            <w:color w:val="0000EE"/>
            <w:u w:val="single"/>
          </w:rPr>
          <w:t>TrustCloud, 2025</w:t>
        </w:r>
      </w:hyperlink>
      <w:r>
        <w:t>).</w:t>
      </w:r>
      <w:r/>
    </w:p>
    <w:p>
      <w:pPr>
        <w:pStyle w:val="Heading2"/>
      </w:pPr>
      <w:r>
        <w:t>Conclusion</w:t>
      </w:r>
      <w:r/>
    </w:p>
    <w:p>
      <w:r/>
      <w:r>
        <w:t>The trajectory of artificial intelligence from 2024 to 2025 underscores its pivotal role in shaping the future of technology and economic landscapes. The projected growth of the AI market to $4.8 trillion by 2033 highlights its potential to become a cornerstone of global technological advancement (</w:t>
      </w:r>
      <w:hyperlink r:id="rId9">
        <w:r>
          <w:rPr>
            <w:color w:val="0000EE"/>
            <w:u w:val="single"/>
          </w:rPr>
          <w:t>UNCTAD, 2025</w:t>
        </w:r>
      </w:hyperlink>
      <w:r>
        <w:t>). However, this growth is accompanied by challenges, including the concentration of AI capabilities in a few major economies and the need for inclusive strategies to ensure equitable distribution of benefits (</w:t>
      </w:r>
      <w:hyperlink r:id="rId11">
        <w:r>
          <w:rPr>
            <w:color w:val="0000EE"/>
            <w:u w:val="single"/>
          </w:rPr>
          <w:t>Vision IAS, 2025</w:t>
        </w:r>
      </w:hyperlink>
      <w:r>
        <w:t>).</w:t>
      </w:r>
      <w:r/>
    </w:p>
    <w:p>
      <w:r/>
      <w:r>
        <w:t>Technological innovations in AI are transforming research methodologies, with cognitive AI systems and real-time data analytics leading to unprecedented efficiencies and discoveries (</w:t>
      </w:r>
      <w:hyperlink r:id="rId12">
        <w:r>
          <w:rPr>
            <w:color w:val="0000EE"/>
            <w:u w:val="single"/>
          </w:rPr>
          <w:t>Scispot, 2025</w:t>
        </w:r>
      </w:hyperlink>
      <w:r>
        <w:t>). These advancements promise to accelerate scientific progress and broaden access to high-throughput experimentation, yet they also necessitate robust governance frameworks to address emerging ethical and regulatory concerns (</w:t>
      </w:r>
      <w:hyperlink r:id="rId14">
        <w:r>
          <w:rPr>
            <w:color w:val="0000EE"/>
            <w:u w:val="single"/>
          </w:rPr>
          <w:t>Diligent, 2025</w:t>
        </w:r>
      </w:hyperlink>
      <w:r>
        <w:t>).</w:t>
      </w:r>
      <w:r/>
    </w:p>
    <w:p>
      <w:r/>
      <w:r>
        <w:t>As AI continues to evolve, it is imperative for policymakers, industry leaders, and researchers to collaborate in developing strategies that promote sustainable growth, ethical use, and inclusive governance. By prioritizing these areas, the global community can ensure that AI's transformative potential is realized in a manner that benefits all sectors of society, fostering innovation while safeguarding against potential risks (</w:t>
      </w:r>
      <w:hyperlink r:id="rId15">
        <w:r>
          <w:rPr>
            <w:color w:val="0000EE"/>
            <w:u w:val="single"/>
          </w:rPr>
          <w:t>TrustCloud, 2025</w:t>
        </w:r>
      </w:hyperlink>
      <w:r>
        <w:t>).</w:t>
      </w:r>
      <w:r/>
    </w:p>
    <w:p>
      <w:pPr>
        <w:pStyle w:val="Heading2"/>
      </w:pPr>
      <w:r>
        <w:t>References</w:t>
      </w:r>
      <w:r/>
      <w:r/>
    </w:p>
    <w:p>
      <w:pPr>
        <w:pStyle w:val="ListBullet"/>
        <w:spacing w:line="240" w:lineRule="auto"/>
        <w:ind w:left="720"/>
      </w:pPr>
      <w:r/>
      <w:r>
        <w:t xml:space="preserve">UNCTAD, 2025, United Nations Conference on Trade and Development </w:t>
      </w:r>
      <w:hyperlink r:id="rId9">
        <w:r>
          <w:rPr>
            <w:color w:val="0000EE"/>
            <w:u w:val="single"/>
          </w:rPr>
          <w:t>source</w:t>
        </w:r>
      </w:hyperlink>
      <w:r/>
    </w:p>
    <w:p>
      <w:pPr>
        <w:pStyle w:val="ListBullet"/>
        <w:spacing w:line="240" w:lineRule="auto"/>
        <w:ind w:left="720"/>
      </w:pPr>
      <w:r/>
      <w:r>
        <w:t xml:space="preserve">Vision IAS, 2025, Vision IAS Current Affairs </w:t>
      </w:r>
      <w:hyperlink r:id="rId11">
        <w:r>
          <w:rPr>
            <w:color w:val="0000EE"/>
            <w:u w:val="single"/>
          </w:rPr>
          <w:t>source</w:t>
        </w:r>
      </w:hyperlink>
      <w:r/>
    </w:p>
    <w:p>
      <w:pPr>
        <w:pStyle w:val="ListBullet"/>
        <w:spacing w:line="240" w:lineRule="auto"/>
        <w:ind w:left="720"/>
      </w:pPr>
      <w:r/>
      <w:r>
        <w:t xml:space="preserve">Scispot, 2025, Scispot Blog </w:t>
      </w:r>
      <w:hyperlink r:id="rId12">
        <w:r>
          <w:rPr>
            <w:color w:val="0000EE"/>
            <w:u w:val="single"/>
          </w:rPr>
          <w:t>source</w:t>
        </w:r>
      </w:hyperlink>
      <w:r/>
    </w:p>
    <w:p>
      <w:pPr>
        <w:pStyle w:val="ListBullet"/>
        <w:spacing w:line="240" w:lineRule="auto"/>
        <w:ind w:left="720"/>
      </w:pPr>
      <w:r/>
      <w:r>
        <w:t xml:space="preserve">NotedSource, 2025, NotedSource Blog </w:t>
      </w:r>
      <w:hyperlink r:id="rId13">
        <w:r>
          <w:rPr>
            <w:color w:val="0000EE"/>
            <w:u w:val="single"/>
          </w:rPr>
          <w:t>source</w:t>
        </w:r>
      </w:hyperlink>
      <w:r/>
    </w:p>
    <w:p>
      <w:pPr>
        <w:pStyle w:val="ListBullet"/>
        <w:spacing w:line="240" w:lineRule="auto"/>
        <w:ind w:left="720"/>
      </w:pPr>
      <w:r/>
      <w:r>
        <w:t xml:space="preserve">Diligent, 2025, Diligent Resources </w:t>
      </w:r>
      <w:hyperlink r:id="rId14">
        <w:r>
          <w:rPr>
            <w:color w:val="0000EE"/>
            <w:u w:val="single"/>
          </w:rPr>
          <w:t>source</w:t>
        </w:r>
      </w:hyperlink>
      <w:r/>
    </w:p>
    <w:p>
      <w:pPr>
        <w:pStyle w:val="ListBullet"/>
        <w:spacing w:line="240" w:lineRule="auto"/>
        <w:ind w:left="720"/>
      </w:pPr>
      <w:r/>
      <w:r>
        <w:t xml:space="preserve">TrustCloud, 2025, TrustCloud Community </w:t>
      </w:r>
      <w:hyperlink r:id="rId15">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unctad.org/news/ai-market-projected-hit-48-trillion-2033-emerging-dominant-frontier-technology" TargetMode="External"/><Relationship Id="rId10" Type="http://schemas.openxmlformats.org/officeDocument/2006/relationships/hyperlink" Target="https://unctad.org/news/ais-48-trillion-future-un-trade-and-development-alerts-divides-urges-action" TargetMode="External"/><Relationship Id="rId11" Type="http://schemas.openxmlformats.org/officeDocument/2006/relationships/hyperlink" Target="https://visionias.in/current-affairs/news-today/2025-04-08/science-and-technology/technology-and-innovation-report-2025-released-by-un-trade-and-development-unctad" TargetMode="External"/><Relationship Id="rId12" Type="http://schemas.openxmlformats.org/officeDocument/2006/relationships/hyperlink" Target="https://www.scispot.com/blog/the-lab-of-the-future-unveiled-how-technology-is-transforming-scientific-discovery" TargetMode="External"/><Relationship Id="rId13" Type="http://schemas.openxmlformats.org/officeDocument/2006/relationships/hyperlink" Target="https://notedsource.io/resources/blog/technology-advancements-in-research-methodologies-transforming-the-research/" TargetMode="External"/><Relationship Id="rId14" Type="http://schemas.openxmlformats.org/officeDocument/2006/relationships/hyperlink" Target="https://www.diligent.com/resources/guides/grc" TargetMode="External"/><Relationship Id="rId15" Type="http://schemas.openxmlformats.org/officeDocument/2006/relationships/hyperlink" Target="https://community.trustcloud.ai/docs/grc-launchpad/grc-101/risk-management/mastering-grc-integrating-governance-risk-and-compliance-for-business-success/" TargetMode="External"/><Relationship Id="rId16" Type="http://schemas.openxmlformats.org/officeDocument/2006/relationships/hyperlink" Target="https://www.cbo.gov/system/files/2024-12/60774-AI-fed-budget.pdf" TargetMode="External"/><Relationship Id="rId17" Type="http://schemas.openxmlformats.org/officeDocument/2006/relationships/hyperlink" Target="https://susanmernit.com/2025/05/the-stanford-institute-for-human-centered-artificial-intelligence-2025-ai-index-report-what-nonprofits-should-know/" TargetMode="External"/><Relationship Id="rId18" Type="http://schemas.openxmlformats.org/officeDocument/2006/relationships/hyperlink" Target="https://datahubanalytics.com/data-analytics-in-2025-how-ai-will-revolutionize-decision-making/" TargetMode="External"/><Relationship Id="rId19" Type="http://schemas.openxmlformats.org/officeDocument/2006/relationships/hyperlink" Target="https://www.ijfmr.com/papers/2025/2/40200.pdf" TargetMode="External"/><Relationship Id="rId20" Type="http://schemas.openxmlformats.org/officeDocument/2006/relationships/hyperlink" Target="https://kraftbusiness.com/blog/governance-risk-and-compliance-framework/" TargetMode="External"/><Relationship Id="rId21" Type="http://schemas.openxmlformats.org/officeDocument/2006/relationships/hyperlink" Target="https://onlinedegrees.scu.edu/media/blog/ethics-in-corporate-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