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A24" w:rsidRDefault="00C956B4" w:rsidP="00F61EEA">
      <w:pPr>
        <w:ind w:left="-1134" w:firstLine="1134"/>
        <w:rPr>
          <w:b/>
          <w:sz w:val="28"/>
          <w:szCs w:val="28"/>
          <w:lang w:val="ru-RU"/>
        </w:rPr>
      </w:pPr>
      <w:r w:rsidRPr="00C956B4">
        <w:rPr>
          <w:b/>
          <w:sz w:val="28"/>
          <w:szCs w:val="28"/>
          <w:lang w:val="ru-RU"/>
        </w:rPr>
        <w:t xml:space="preserve">Поддержка протокола </w:t>
      </w:r>
      <w:r w:rsidRPr="00C956B4">
        <w:rPr>
          <w:b/>
          <w:sz w:val="28"/>
          <w:szCs w:val="28"/>
          <w:lang w:val="en-US"/>
        </w:rPr>
        <w:t>TC</w:t>
      </w:r>
      <w:r w:rsidRPr="00C956B4">
        <w:rPr>
          <w:b/>
          <w:sz w:val="28"/>
          <w:szCs w:val="28"/>
          <w:lang w:val="ru-RU"/>
        </w:rPr>
        <w:t xml:space="preserve"> </w:t>
      </w:r>
      <w:r w:rsidRPr="00C956B4">
        <w:rPr>
          <w:b/>
          <w:sz w:val="28"/>
          <w:szCs w:val="28"/>
          <w:lang w:val="en-US"/>
        </w:rPr>
        <w:t>IP</w:t>
      </w:r>
      <w:r w:rsidRPr="00C956B4">
        <w:rPr>
          <w:b/>
          <w:sz w:val="28"/>
          <w:szCs w:val="28"/>
          <w:lang w:val="ru-RU"/>
        </w:rPr>
        <w:t xml:space="preserve"> в </w:t>
      </w:r>
      <w:proofErr w:type="spellStart"/>
      <w:r w:rsidRPr="00C956B4">
        <w:rPr>
          <w:b/>
          <w:sz w:val="28"/>
          <w:szCs w:val="28"/>
          <w:lang w:val="ru-RU"/>
        </w:rPr>
        <w:t>ТехПО</w:t>
      </w:r>
      <w:proofErr w:type="spellEnd"/>
    </w:p>
    <w:p w:rsidR="00C956B4" w:rsidRPr="00E77EB8" w:rsidRDefault="00C956B4" w:rsidP="00F61EEA">
      <w:pPr>
        <w:pStyle w:val="a3"/>
        <w:numPr>
          <w:ilvl w:val="0"/>
          <w:numId w:val="1"/>
        </w:numPr>
        <w:ind w:left="-426"/>
        <w:rPr>
          <w:b/>
          <w:u w:val="single"/>
          <w:lang w:val="ru-RU"/>
        </w:rPr>
      </w:pPr>
      <w:r w:rsidRPr="00E77EB8">
        <w:rPr>
          <w:b/>
          <w:u w:val="single"/>
          <w:lang w:val="ru-RU"/>
        </w:rPr>
        <w:t>Настройка протокола</w:t>
      </w:r>
    </w:p>
    <w:p w:rsidR="00C956B4" w:rsidRDefault="00F61EEA" w:rsidP="00F61EEA">
      <w:pPr>
        <w:pStyle w:val="a3"/>
        <w:ind w:left="-426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1031240"/>
            <wp:effectExtent l="76200" t="76200" r="136525" b="130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2819" w:rsidRDefault="00F61EEA" w:rsidP="00F61EEA">
      <w:pPr>
        <w:pStyle w:val="a3"/>
        <w:ind w:left="-426"/>
        <w:rPr>
          <w:lang w:val="ru-RU"/>
        </w:rPr>
      </w:pPr>
      <w:r>
        <w:rPr>
          <w:lang w:val="ru-RU"/>
        </w:rPr>
        <w:t xml:space="preserve"> Выбор </w:t>
      </w:r>
      <w:r>
        <w:rPr>
          <w:lang w:val="en-US"/>
        </w:rPr>
        <w:t>RS232,</w:t>
      </w:r>
      <w:r w:rsidRPr="00F61EEA">
        <w:rPr>
          <w:lang w:val="en-US"/>
        </w:rPr>
        <w:t xml:space="preserve"> </w:t>
      </w:r>
      <w:r>
        <w:rPr>
          <w:lang w:val="en-US"/>
        </w:rPr>
        <w:t>RS485</w:t>
      </w:r>
      <w:r>
        <w:rPr>
          <w:lang w:val="ru-RU"/>
        </w:rPr>
        <w:t>.</w:t>
      </w:r>
    </w:p>
    <w:p w:rsidR="00F61EEA" w:rsidRDefault="00D02819" w:rsidP="00F61EEA">
      <w:pPr>
        <w:pStyle w:val="a3"/>
        <w:ind w:left="-426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120400" cy="3294000"/>
            <wp:effectExtent l="76200" t="76200" r="127635" b="135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400" cy="329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>
            <wp:extent cx="2228400" cy="3283200"/>
            <wp:effectExtent l="76200" t="76200" r="133985" b="1270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328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2819" w:rsidRPr="00E77EB8" w:rsidRDefault="00D02819" w:rsidP="00F61EEA">
      <w:pPr>
        <w:pStyle w:val="a3"/>
        <w:ind w:left="-426"/>
        <w:rPr>
          <w:b/>
          <w:lang w:val="en-US"/>
        </w:rPr>
      </w:pPr>
      <w:r w:rsidRPr="00E77EB8">
        <w:rPr>
          <w:b/>
          <w:lang w:val="ru-RU"/>
        </w:rPr>
        <w:t>Выбор протокола ТС</w:t>
      </w:r>
      <w:r w:rsidRPr="00E77EB8">
        <w:rPr>
          <w:b/>
          <w:lang w:val="en-US"/>
        </w:rPr>
        <w:t>P IP.</w:t>
      </w:r>
    </w:p>
    <w:p w:rsidR="00D02819" w:rsidRDefault="00D02819" w:rsidP="00CE6EA7">
      <w:pPr>
        <w:pStyle w:val="a3"/>
        <w:ind w:left="-851" w:right="-426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62400" cy="3312000"/>
            <wp:effectExtent l="76200" t="76200" r="138430" b="136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39"/>
                    <a:stretch/>
                  </pic:blipFill>
                  <pic:spPr bwMode="auto">
                    <a:xfrm>
                      <a:off x="0" y="0"/>
                      <a:ext cx="4262400" cy="331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F4E658A" wp14:editId="1D9A1934">
            <wp:extent cx="1915200" cy="3301200"/>
            <wp:effectExtent l="76200" t="76200" r="142240" b="128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00" cy="330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2819" w:rsidRDefault="00D02819" w:rsidP="00F61EEA">
      <w:pPr>
        <w:pStyle w:val="a3"/>
        <w:ind w:left="-426"/>
        <w:rPr>
          <w:lang w:val="en-US"/>
        </w:rPr>
      </w:pPr>
    </w:p>
    <w:p w:rsidR="00D02819" w:rsidRDefault="00D02819" w:rsidP="00F61EEA">
      <w:pPr>
        <w:pStyle w:val="a3"/>
        <w:ind w:left="-426"/>
        <w:rPr>
          <w:lang w:val="en-US"/>
        </w:rPr>
      </w:pPr>
    </w:p>
    <w:p w:rsidR="00D02819" w:rsidRDefault="00D02819" w:rsidP="00F61EEA">
      <w:pPr>
        <w:pStyle w:val="a3"/>
        <w:ind w:left="-426"/>
        <w:rPr>
          <w:lang w:val="en-US"/>
        </w:rPr>
      </w:pPr>
    </w:p>
    <w:p w:rsidR="00D02819" w:rsidRPr="00E77EB8" w:rsidRDefault="00D02819" w:rsidP="00D02819">
      <w:pPr>
        <w:pStyle w:val="a3"/>
        <w:ind w:left="-426"/>
        <w:rPr>
          <w:b/>
          <w:lang w:val="ru-RU"/>
        </w:rPr>
      </w:pPr>
      <w:r w:rsidRPr="00E77EB8">
        <w:rPr>
          <w:b/>
          <w:lang w:val="ru-RU"/>
        </w:rPr>
        <w:t xml:space="preserve">Выбор протокола </w:t>
      </w:r>
      <w:r w:rsidRPr="00E77EB8">
        <w:rPr>
          <w:b/>
          <w:lang w:val="en-US"/>
        </w:rPr>
        <w:t>RTU</w:t>
      </w:r>
      <w:r w:rsidRPr="00E77EB8">
        <w:rPr>
          <w:b/>
          <w:lang w:val="ru-RU"/>
        </w:rPr>
        <w:t xml:space="preserve"> ТС</w:t>
      </w:r>
      <w:r w:rsidRPr="00E77EB8">
        <w:rPr>
          <w:b/>
          <w:lang w:val="en-US"/>
        </w:rPr>
        <w:t>P</w:t>
      </w:r>
      <w:r w:rsidRPr="00E77EB8">
        <w:rPr>
          <w:b/>
          <w:lang w:val="ru-RU"/>
        </w:rPr>
        <w:t xml:space="preserve"> </w:t>
      </w:r>
      <w:r w:rsidRPr="00E77EB8">
        <w:rPr>
          <w:b/>
          <w:lang w:val="en-US"/>
        </w:rPr>
        <w:t>IP</w:t>
      </w:r>
      <w:r w:rsidRPr="00E77EB8">
        <w:rPr>
          <w:b/>
          <w:lang w:val="ru-RU"/>
        </w:rPr>
        <w:t>.</w:t>
      </w:r>
    </w:p>
    <w:p w:rsidR="00D02819" w:rsidRDefault="00D02819" w:rsidP="00D02819">
      <w:pPr>
        <w:pStyle w:val="a3"/>
        <w:ind w:left="-426"/>
        <w:rPr>
          <w:lang w:val="ru-RU"/>
        </w:rPr>
      </w:pPr>
    </w:p>
    <w:p w:rsidR="00D02819" w:rsidRPr="00D02819" w:rsidRDefault="00D02819" w:rsidP="00CE6EA7">
      <w:pPr>
        <w:pStyle w:val="a3"/>
        <w:ind w:left="-851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136400" cy="3319200"/>
            <wp:effectExtent l="76200" t="76200" r="130810" b="128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84"/>
                    <a:stretch/>
                  </pic:blipFill>
                  <pic:spPr bwMode="auto">
                    <a:xfrm>
                      <a:off x="0" y="0"/>
                      <a:ext cx="4136400" cy="331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E6EA7">
        <w:rPr>
          <w:noProof/>
          <w:lang w:val="en-US"/>
        </w:rPr>
        <w:drawing>
          <wp:inline distT="0" distB="0" distL="0" distR="0" wp14:anchorId="2D7C97B0" wp14:editId="1FD407AB">
            <wp:extent cx="1915200" cy="3301200"/>
            <wp:effectExtent l="76200" t="76200" r="142240" b="128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00" cy="330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2819" w:rsidRDefault="00CE6EA7" w:rsidP="00F61EEA">
      <w:pPr>
        <w:pStyle w:val="a3"/>
        <w:ind w:left="-426"/>
        <w:rPr>
          <w:lang w:val="ru-RU"/>
        </w:rPr>
      </w:pPr>
      <w:r>
        <w:rPr>
          <w:lang w:val="ru-RU"/>
        </w:rPr>
        <w:t>После изменения настройки нажать кнопку «Применить» и потом «Закрыть».</w:t>
      </w:r>
    </w:p>
    <w:p w:rsidR="00CE6EA7" w:rsidRDefault="00CE6EA7" w:rsidP="00F61EEA">
      <w:pPr>
        <w:pStyle w:val="a3"/>
        <w:ind w:left="-426"/>
        <w:rPr>
          <w:lang w:val="ru-RU"/>
        </w:rPr>
      </w:pPr>
      <w:r>
        <w:rPr>
          <w:lang w:val="ru-RU"/>
        </w:rPr>
        <w:t xml:space="preserve">Настройки сохраняются </w:t>
      </w:r>
      <w:proofErr w:type="gramStart"/>
      <w:r>
        <w:rPr>
          <w:lang w:val="ru-RU"/>
        </w:rPr>
        <w:t>в  файле</w:t>
      </w:r>
      <w:proofErr w:type="gramEnd"/>
      <w:r>
        <w:rPr>
          <w:lang w:val="ru-RU"/>
        </w:rPr>
        <w:t xml:space="preserve"> «</w:t>
      </w:r>
      <w:r w:rsidRPr="00FC7130">
        <w:rPr>
          <w:b/>
          <w:color w:val="FF0000"/>
          <w:lang w:val="ru-RU"/>
        </w:rPr>
        <w:t>TexPO.ini</w:t>
      </w:r>
      <w:r>
        <w:rPr>
          <w:lang w:val="ru-RU"/>
        </w:rPr>
        <w:t>». Актуализируются при открытии приложения.</w:t>
      </w:r>
    </w:p>
    <w:p w:rsidR="00CE6EA7" w:rsidRDefault="00CE6EA7" w:rsidP="00F61EEA">
      <w:pPr>
        <w:pStyle w:val="a3"/>
        <w:ind w:left="-426"/>
        <w:rPr>
          <w:lang w:val="ru-RU"/>
        </w:rPr>
      </w:pPr>
    </w:p>
    <w:p w:rsidR="00CE6EA7" w:rsidRPr="00E77EB8" w:rsidRDefault="00CE6EA7" w:rsidP="00CE6EA7">
      <w:pPr>
        <w:pStyle w:val="a3"/>
        <w:numPr>
          <w:ilvl w:val="0"/>
          <w:numId w:val="1"/>
        </w:numPr>
        <w:rPr>
          <w:b/>
          <w:u w:val="single"/>
          <w:lang w:val="ru-RU"/>
        </w:rPr>
      </w:pPr>
      <w:r w:rsidRPr="00E77EB8">
        <w:rPr>
          <w:b/>
          <w:u w:val="single"/>
          <w:lang w:val="ru-RU"/>
        </w:rPr>
        <w:t>Запуск обмена.</w:t>
      </w:r>
    </w:p>
    <w:p w:rsidR="00CE6EA7" w:rsidRPr="00E77EB8" w:rsidRDefault="00CE6EA7" w:rsidP="00CE6EA7">
      <w:pPr>
        <w:pStyle w:val="a3"/>
        <w:rPr>
          <w:b/>
          <w:lang w:val="ru-RU"/>
        </w:rPr>
      </w:pPr>
      <w:r w:rsidRPr="00E77EB8">
        <w:rPr>
          <w:b/>
          <w:lang w:val="en-US"/>
        </w:rPr>
        <w:t>RS232, RS485</w:t>
      </w:r>
      <w:r w:rsidRPr="00E77EB8">
        <w:rPr>
          <w:b/>
          <w:lang w:val="ru-RU"/>
        </w:rPr>
        <w:t>.</w:t>
      </w:r>
    </w:p>
    <w:p w:rsidR="00CE6EA7" w:rsidRDefault="00A16A8E" w:rsidP="00CE6EA7">
      <w:pPr>
        <w:pStyle w:val="a3"/>
        <w:ind w:left="-709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2193925"/>
            <wp:effectExtent l="76200" t="76200" r="136525" b="130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6A8E" w:rsidRPr="00A16A8E" w:rsidRDefault="00A16A8E" w:rsidP="00CE6EA7">
      <w:pPr>
        <w:pStyle w:val="a3"/>
        <w:ind w:left="-709"/>
        <w:rPr>
          <w:lang w:val="ru-RU"/>
        </w:rPr>
      </w:pPr>
      <w:r>
        <w:rPr>
          <w:lang w:val="ru-RU"/>
        </w:rPr>
        <w:t xml:space="preserve">При нажатии </w:t>
      </w:r>
      <w:r w:rsidRPr="00A16A8E">
        <w:rPr>
          <w:lang w:val="ru-RU"/>
        </w:rPr>
        <w:t>/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отжатии</w:t>
      </w:r>
      <w:proofErr w:type="spellEnd"/>
      <w:r>
        <w:rPr>
          <w:lang w:val="ru-RU"/>
        </w:rPr>
        <w:t xml:space="preserve"> кнопки «</w:t>
      </w:r>
      <w:r w:rsidRPr="004E1B86">
        <w:rPr>
          <w:b/>
          <w:color w:val="FF0000"/>
          <w:sz w:val="28"/>
          <w:szCs w:val="28"/>
          <w:lang w:val="ru-RU"/>
        </w:rPr>
        <w:t>А</w:t>
      </w:r>
      <w:r>
        <w:rPr>
          <w:lang w:val="ru-RU"/>
        </w:rPr>
        <w:t>» включается или выключается связь с устройством. Состояние связи индицируется в полях статус бара «</w:t>
      </w:r>
      <w:r w:rsidRPr="004E1B86">
        <w:rPr>
          <w:b/>
          <w:color w:val="FF0000"/>
          <w:sz w:val="28"/>
          <w:szCs w:val="28"/>
          <w:lang w:val="ru-RU"/>
        </w:rPr>
        <w:t>С</w:t>
      </w:r>
      <w:r>
        <w:rPr>
          <w:lang w:val="ru-RU"/>
        </w:rPr>
        <w:t>».  При выборе свойств связи «</w:t>
      </w:r>
      <w:r w:rsidRPr="004E1B86">
        <w:rPr>
          <w:b/>
          <w:color w:val="FF0000"/>
          <w:sz w:val="28"/>
          <w:szCs w:val="28"/>
          <w:lang w:val="ru-RU"/>
        </w:rPr>
        <w:t>В</w:t>
      </w:r>
      <w:r>
        <w:rPr>
          <w:lang w:val="ru-RU"/>
        </w:rPr>
        <w:t xml:space="preserve">» и кликом левой мыши на поле основного окна запускается логирование прослушки </w:t>
      </w:r>
      <w:r>
        <w:rPr>
          <w:lang w:val="en-US"/>
        </w:rPr>
        <w:t>Modbus</w:t>
      </w:r>
      <w:r w:rsidRPr="00A16A8E">
        <w:rPr>
          <w:lang w:val="ru-RU"/>
        </w:rPr>
        <w:t xml:space="preserve">. </w:t>
      </w:r>
      <w:r>
        <w:rPr>
          <w:lang w:val="ru-RU"/>
        </w:rPr>
        <w:t>Индикация квитанций производится в перетаскиваемой панели «</w:t>
      </w:r>
      <w:r w:rsidRPr="004E1B86">
        <w:rPr>
          <w:b/>
          <w:color w:val="FF0000"/>
          <w:sz w:val="28"/>
          <w:szCs w:val="28"/>
          <w:lang w:val="ru-RU"/>
        </w:rPr>
        <w:t>Е</w:t>
      </w:r>
      <w:r>
        <w:rPr>
          <w:lang w:val="ru-RU"/>
        </w:rPr>
        <w:t xml:space="preserve">» и файле </w:t>
      </w:r>
      <w:proofErr w:type="spellStart"/>
      <w:r w:rsidRPr="004E1B86">
        <w:rPr>
          <w:b/>
          <w:color w:val="FF0000"/>
          <w:lang w:val="ru-RU"/>
        </w:rPr>
        <w:t>Prot_ErrRs</w:t>
      </w:r>
      <w:proofErr w:type="spellEnd"/>
      <w:r w:rsidRPr="004E1B86">
        <w:rPr>
          <w:b/>
          <w:color w:val="FF0000"/>
          <w:lang w:val="ru-RU"/>
        </w:rPr>
        <w:t>***.</w:t>
      </w:r>
      <w:proofErr w:type="spellStart"/>
      <w:r w:rsidRPr="004E1B86">
        <w:rPr>
          <w:b/>
          <w:color w:val="FF0000"/>
          <w:lang w:val="ru-RU"/>
        </w:rPr>
        <w:t>csv</w:t>
      </w:r>
      <w:proofErr w:type="spellEnd"/>
      <w:r>
        <w:rPr>
          <w:lang w:val="ru-RU"/>
        </w:rPr>
        <w:t xml:space="preserve">. Статистика обмена </w:t>
      </w:r>
      <w:r w:rsidR="00471C66">
        <w:rPr>
          <w:lang w:val="ru-RU"/>
        </w:rPr>
        <w:t>индицируется в поле статус бара «</w:t>
      </w:r>
      <w:r w:rsidR="00471C66" w:rsidRPr="004E1B86">
        <w:rPr>
          <w:b/>
          <w:color w:val="FF0000"/>
          <w:lang w:val="en-US"/>
        </w:rPr>
        <w:t>D</w:t>
      </w:r>
      <w:r w:rsidR="00471C66">
        <w:rPr>
          <w:lang w:val="ru-RU"/>
        </w:rPr>
        <w:t xml:space="preserve">».  </w:t>
      </w:r>
    </w:p>
    <w:p w:rsidR="00CE6EA7" w:rsidRPr="00E77EB8" w:rsidRDefault="00CE6EA7" w:rsidP="00CE6EA7">
      <w:pPr>
        <w:pStyle w:val="a3"/>
        <w:rPr>
          <w:b/>
          <w:lang w:val="en-US"/>
        </w:rPr>
      </w:pPr>
      <w:r w:rsidRPr="00E77EB8">
        <w:rPr>
          <w:b/>
          <w:lang w:val="ru-RU"/>
        </w:rPr>
        <w:t>ТС</w:t>
      </w:r>
      <w:r w:rsidRPr="00E77EB8">
        <w:rPr>
          <w:b/>
          <w:lang w:val="en-US"/>
        </w:rPr>
        <w:t>P</w:t>
      </w:r>
      <w:r w:rsidRPr="00E77EB8">
        <w:rPr>
          <w:b/>
          <w:lang w:val="ru-RU"/>
        </w:rPr>
        <w:t xml:space="preserve"> </w:t>
      </w:r>
      <w:r w:rsidRPr="00E77EB8">
        <w:rPr>
          <w:b/>
          <w:lang w:val="en-US"/>
        </w:rPr>
        <w:t>IP</w:t>
      </w:r>
      <w:r w:rsidRPr="00E77EB8">
        <w:rPr>
          <w:b/>
          <w:lang w:val="ru-RU"/>
        </w:rPr>
        <w:t xml:space="preserve">, </w:t>
      </w:r>
      <w:r w:rsidRPr="00E77EB8">
        <w:rPr>
          <w:b/>
          <w:lang w:val="en-US"/>
        </w:rPr>
        <w:t>RTU</w:t>
      </w:r>
      <w:r w:rsidRPr="00E77EB8">
        <w:rPr>
          <w:b/>
          <w:lang w:val="ru-RU"/>
        </w:rPr>
        <w:t xml:space="preserve"> ТС</w:t>
      </w:r>
      <w:r w:rsidRPr="00E77EB8">
        <w:rPr>
          <w:b/>
          <w:lang w:val="en-US"/>
        </w:rPr>
        <w:t>P</w:t>
      </w:r>
      <w:r w:rsidRPr="00E77EB8">
        <w:rPr>
          <w:b/>
          <w:lang w:val="ru-RU"/>
        </w:rPr>
        <w:t xml:space="preserve"> </w:t>
      </w:r>
      <w:r w:rsidRPr="00E77EB8">
        <w:rPr>
          <w:b/>
          <w:lang w:val="en-US"/>
        </w:rPr>
        <w:t>IP</w:t>
      </w:r>
    </w:p>
    <w:p w:rsidR="00471C66" w:rsidRDefault="00471C66" w:rsidP="00CE6EA7">
      <w:pPr>
        <w:pStyle w:val="a3"/>
        <w:ind w:left="-709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40425" cy="2983230"/>
            <wp:effectExtent l="76200" t="76200" r="136525" b="1409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1C66" w:rsidRDefault="00471C66" w:rsidP="00CE6EA7">
      <w:pPr>
        <w:pStyle w:val="a3"/>
        <w:ind w:left="-709"/>
        <w:rPr>
          <w:lang w:val="ru-RU"/>
        </w:rPr>
      </w:pPr>
    </w:p>
    <w:p w:rsidR="00471C66" w:rsidRPr="00A07541" w:rsidRDefault="00471C66" w:rsidP="00471C66">
      <w:pPr>
        <w:pStyle w:val="a3"/>
        <w:ind w:left="-709"/>
        <w:rPr>
          <w:lang w:val="ru-RU"/>
        </w:rPr>
      </w:pPr>
      <w:r>
        <w:rPr>
          <w:lang w:val="ru-RU"/>
        </w:rPr>
        <w:t xml:space="preserve">При нажатии </w:t>
      </w:r>
      <w:r w:rsidR="004E1B86">
        <w:rPr>
          <w:lang w:val="ru-RU"/>
        </w:rPr>
        <w:t xml:space="preserve">кнопки </w:t>
      </w:r>
      <w:r w:rsidR="004E1B86">
        <w:rPr>
          <w:noProof/>
          <w:lang w:val="ru-RU"/>
        </w:rPr>
        <w:drawing>
          <wp:inline distT="0" distB="0" distL="0" distR="0">
            <wp:extent cx="295200" cy="342000"/>
            <wp:effectExtent l="76200" t="76200" r="124460" b="134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" cy="34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E1B86">
        <w:rPr>
          <w:lang w:val="ru-RU"/>
        </w:rPr>
        <w:t xml:space="preserve"> </w:t>
      </w:r>
      <w:r w:rsidR="00E77EB8">
        <w:rPr>
          <w:lang w:val="ru-RU"/>
        </w:rPr>
        <w:t>устанавливается</w:t>
      </w:r>
      <w:r>
        <w:rPr>
          <w:lang w:val="ru-RU"/>
        </w:rPr>
        <w:t xml:space="preserve"> и </w:t>
      </w:r>
      <w:r w:rsidR="004E1B86">
        <w:rPr>
          <w:lang w:val="ru-RU"/>
        </w:rPr>
        <w:t xml:space="preserve">при нажатии кнопки </w:t>
      </w:r>
      <w:r w:rsidR="004E1B86">
        <w:rPr>
          <w:noProof/>
          <w:lang w:val="ru-RU"/>
        </w:rPr>
        <w:drawing>
          <wp:inline distT="0" distB="0" distL="0" distR="0">
            <wp:extent cx="259200" cy="295200"/>
            <wp:effectExtent l="76200" t="76200" r="140970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" cy="295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77EB8">
        <w:rPr>
          <w:lang w:val="ru-RU"/>
        </w:rPr>
        <w:t>разрывается</w:t>
      </w:r>
      <w:r>
        <w:rPr>
          <w:lang w:val="ru-RU"/>
        </w:rPr>
        <w:t xml:space="preserve"> </w:t>
      </w:r>
      <w:r w:rsidR="004E1B86">
        <w:rPr>
          <w:lang w:val="ru-RU"/>
        </w:rPr>
        <w:t xml:space="preserve">соединение </w:t>
      </w:r>
      <w:proofErr w:type="gramStart"/>
      <w:r w:rsidR="004E1B86">
        <w:rPr>
          <w:lang w:val="ru-RU"/>
        </w:rPr>
        <w:t>с</w:t>
      </w:r>
      <w:r>
        <w:rPr>
          <w:lang w:val="ru-RU"/>
        </w:rPr>
        <w:t xml:space="preserve">  устройством</w:t>
      </w:r>
      <w:proofErr w:type="gramEnd"/>
      <w:r>
        <w:rPr>
          <w:lang w:val="ru-RU"/>
        </w:rPr>
        <w:t xml:space="preserve">. Состояние </w:t>
      </w:r>
      <w:r w:rsidR="004E1B86">
        <w:rPr>
          <w:lang w:val="ru-RU"/>
        </w:rPr>
        <w:t>соединения</w:t>
      </w:r>
      <w:r>
        <w:rPr>
          <w:lang w:val="ru-RU"/>
        </w:rPr>
        <w:t xml:space="preserve"> индицируется в полях статус бара «</w:t>
      </w:r>
      <w:r w:rsidRPr="00E77EB8">
        <w:rPr>
          <w:b/>
          <w:color w:val="FF0000"/>
          <w:sz w:val="28"/>
          <w:szCs w:val="28"/>
          <w:lang w:val="ru-RU"/>
        </w:rPr>
        <w:t>С</w:t>
      </w:r>
      <w:r>
        <w:rPr>
          <w:lang w:val="ru-RU"/>
        </w:rPr>
        <w:t>».  При выборе свойств связи «</w:t>
      </w:r>
      <w:r w:rsidRPr="00E77EB8">
        <w:rPr>
          <w:b/>
          <w:color w:val="FF0000"/>
          <w:sz w:val="28"/>
          <w:szCs w:val="28"/>
          <w:lang w:val="ru-RU"/>
        </w:rPr>
        <w:t>В</w:t>
      </w:r>
      <w:r>
        <w:rPr>
          <w:lang w:val="ru-RU"/>
        </w:rPr>
        <w:t xml:space="preserve">» и кликом левой мыши на поле основного окна запускается логирование прослушки </w:t>
      </w:r>
      <w:r>
        <w:rPr>
          <w:lang w:val="en-US"/>
        </w:rPr>
        <w:t>Modbus</w:t>
      </w:r>
      <w:r w:rsidR="004E1B86">
        <w:rPr>
          <w:lang w:val="ru-RU"/>
        </w:rPr>
        <w:t xml:space="preserve"> по протоколу</w:t>
      </w:r>
      <w:r w:rsidRPr="00A16A8E">
        <w:rPr>
          <w:lang w:val="ru-RU"/>
        </w:rPr>
        <w:t xml:space="preserve">. </w:t>
      </w:r>
      <w:r>
        <w:rPr>
          <w:lang w:val="ru-RU"/>
        </w:rPr>
        <w:t>Индикация квитанций производится в перетаскиваемой панели «</w:t>
      </w:r>
      <w:r w:rsidRPr="00E77EB8">
        <w:rPr>
          <w:b/>
          <w:color w:val="FF0000"/>
          <w:sz w:val="28"/>
          <w:szCs w:val="28"/>
          <w:lang w:val="ru-RU"/>
        </w:rPr>
        <w:t>Е</w:t>
      </w:r>
      <w:r>
        <w:rPr>
          <w:lang w:val="ru-RU"/>
        </w:rPr>
        <w:t xml:space="preserve">» и файле </w:t>
      </w:r>
      <w:proofErr w:type="spellStart"/>
      <w:r w:rsidR="004E1B86" w:rsidRPr="00E77EB8">
        <w:rPr>
          <w:b/>
          <w:color w:val="FF0000"/>
          <w:lang w:val="ru-RU"/>
        </w:rPr>
        <w:t>Prot_SoketTCP</w:t>
      </w:r>
      <w:proofErr w:type="spellEnd"/>
      <w:r w:rsidR="004E1B86" w:rsidRPr="00E77EB8">
        <w:rPr>
          <w:b/>
          <w:color w:val="FF0000"/>
          <w:lang w:val="ru-RU"/>
        </w:rPr>
        <w:t xml:space="preserve">_ </w:t>
      </w:r>
      <w:r w:rsidRPr="00E77EB8">
        <w:rPr>
          <w:b/>
          <w:color w:val="FF0000"/>
          <w:lang w:val="ru-RU"/>
        </w:rPr>
        <w:t>***.</w:t>
      </w:r>
      <w:proofErr w:type="spellStart"/>
      <w:r w:rsidRPr="00E77EB8">
        <w:rPr>
          <w:b/>
          <w:color w:val="FF0000"/>
          <w:lang w:val="ru-RU"/>
        </w:rPr>
        <w:t>csv</w:t>
      </w:r>
      <w:proofErr w:type="spellEnd"/>
      <w:r>
        <w:rPr>
          <w:lang w:val="ru-RU"/>
        </w:rPr>
        <w:t>. Статистика обмена индицируется в поле статус бара «</w:t>
      </w:r>
      <w:r w:rsidRPr="00E77EB8">
        <w:rPr>
          <w:b/>
          <w:color w:val="FF0000"/>
          <w:sz w:val="28"/>
          <w:szCs w:val="28"/>
          <w:lang w:val="en-US"/>
        </w:rPr>
        <w:t>D</w:t>
      </w:r>
      <w:r>
        <w:rPr>
          <w:lang w:val="ru-RU"/>
        </w:rPr>
        <w:t xml:space="preserve">».  </w:t>
      </w:r>
      <w:r w:rsidR="004E1B86">
        <w:rPr>
          <w:lang w:val="ru-RU"/>
        </w:rPr>
        <w:t xml:space="preserve"> В свойстве «</w:t>
      </w:r>
      <w:r w:rsidR="004E1B86" w:rsidRPr="00E77EB8">
        <w:rPr>
          <w:b/>
          <w:sz w:val="28"/>
          <w:szCs w:val="28"/>
          <w:lang w:val="en-US"/>
        </w:rPr>
        <w:t>G</w:t>
      </w:r>
      <w:r w:rsidR="004E1B86">
        <w:rPr>
          <w:lang w:val="ru-RU"/>
        </w:rPr>
        <w:t>» можно включить</w:t>
      </w:r>
      <w:r w:rsidR="004E1B86" w:rsidRPr="00A07541">
        <w:rPr>
          <w:lang w:val="ru-RU"/>
        </w:rPr>
        <w:t>/</w:t>
      </w:r>
      <w:r w:rsidR="00E77EB8">
        <w:rPr>
          <w:lang w:val="ru-RU"/>
        </w:rPr>
        <w:t>выключить опрос</w:t>
      </w:r>
      <w:r w:rsidR="004E1B86">
        <w:rPr>
          <w:lang w:val="ru-RU"/>
        </w:rPr>
        <w:t xml:space="preserve"> устройства</w:t>
      </w:r>
      <w:r w:rsidR="00E77EB8">
        <w:rPr>
          <w:lang w:val="ru-RU"/>
        </w:rPr>
        <w:t xml:space="preserve"> по 2В</w:t>
      </w:r>
      <w:r w:rsidR="004E1B86">
        <w:rPr>
          <w:lang w:val="ru-RU"/>
        </w:rPr>
        <w:t>.</w:t>
      </w:r>
      <w:r w:rsidR="00A07541">
        <w:rPr>
          <w:lang w:val="ru-RU"/>
        </w:rPr>
        <w:br/>
        <w:t xml:space="preserve"> Работа во всех окнах приложения с опросом устройства </w:t>
      </w:r>
      <w:proofErr w:type="spellStart"/>
      <w:r w:rsidR="00A07541">
        <w:rPr>
          <w:lang w:val="ru-RU"/>
        </w:rPr>
        <w:t>проиходит</w:t>
      </w:r>
      <w:proofErr w:type="spellEnd"/>
      <w:r w:rsidR="00A07541">
        <w:rPr>
          <w:lang w:val="ru-RU"/>
        </w:rPr>
        <w:t xml:space="preserve"> аналогично </w:t>
      </w:r>
      <w:r w:rsidR="00A07541">
        <w:rPr>
          <w:lang w:val="en-US"/>
        </w:rPr>
        <w:t>RS</w:t>
      </w:r>
      <w:r w:rsidR="00A07541" w:rsidRPr="00A07541">
        <w:rPr>
          <w:lang w:val="ru-RU"/>
        </w:rPr>
        <w:t>232</w:t>
      </w:r>
      <w:r w:rsidR="00A07541" w:rsidRPr="00FC7130">
        <w:rPr>
          <w:lang w:val="ru-RU"/>
        </w:rPr>
        <w:t>/</w:t>
      </w:r>
      <w:r w:rsidR="00A07541">
        <w:rPr>
          <w:lang w:val="en-US"/>
        </w:rPr>
        <w:t>RS</w:t>
      </w:r>
      <w:r w:rsidR="00A07541">
        <w:rPr>
          <w:lang w:val="ru-RU"/>
        </w:rPr>
        <w:t xml:space="preserve"> 485.</w:t>
      </w:r>
    </w:p>
    <w:p w:rsidR="00471C66" w:rsidRDefault="00471C66" w:rsidP="00CE6EA7">
      <w:pPr>
        <w:pStyle w:val="a3"/>
        <w:ind w:left="-709"/>
        <w:rPr>
          <w:lang w:val="ru-RU"/>
        </w:rPr>
      </w:pPr>
    </w:p>
    <w:p w:rsidR="00F0217F" w:rsidRPr="00F0217F" w:rsidRDefault="00F0217F" w:rsidP="00CE6EA7">
      <w:pPr>
        <w:pStyle w:val="a3"/>
        <w:ind w:left="-709"/>
        <w:rPr>
          <w:lang w:val="ru-RU"/>
        </w:rPr>
      </w:pPr>
      <w:r>
        <w:rPr>
          <w:lang w:val="ru-RU"/>
        </w:rPr>
        <w:t xml:space="preserve">При запуске одновременно потоков форм </w:t>
      </w:r>
      <w:r>
        <w:rPr>
          <w:lang w:val="en-US"/>
        </w:rPr>
        <w:t>Watch</w:t>
      </w:r>
      <w:r w:rsidRPr="00F0217F">
        <w:rPr>
          <w:lang w:val="ru-RU"/>
        </w:rPr>
        <w:t xml:space="preserve"> </w:t>
      </w:r>
      <w:r>
        <w:rPr>
          <w:lang w:val="ru-RU"/>
        </w:rPr>
        <w:t>и чтения записи уставок (</w:t>
      </w:r>
      <w:proofErr w:type="spellStart"/>
      <w:r>
        <w:rPr>
          <w:lang w:val="ru-RU"/>
        </w:rPr>
        <w:t>чтение+запись</w:t>
      </w:r>
      <w:proofErr w:type="spellEnd"/>
      <w:r>
        <w:rPr>
          <w:lang w:val="ru-RU"/>
        </w:rPr>
        <w:t xml:space="preserve">) предусмотрен </w:t>
      </w:r>
      <w:proofErr w:type="gramStart"/>
      <w:r>
        <w:rPr>
          <w:lang w:val="ru-RU"/>
        </w:rPr>
        <w:t>режим  «</w:t>
      </w:r>
      <w:proofErr w:type="gramEnd"/>
      <w:r>
        <w:rPr>
          <w:lang w:val="en-US"/>
        </w:rPr>
        <w:t>Intensive</w:t>
      </w:r>
      <w:r>
        <w:rPr>
          <w:lang w:val="ru-RU"/>
        </w:rPr>
        <w:t>»</w:t>
      </w:r>
      <w:r w:rsidRPr="00F0217F">
        <w:rPr>
          <w:lang w:val="ru-RU"/>
        </w:rPr>
        <w:t xml:space="preserve">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разреживания</w:t>
      </w:r>
      <w:proofErr w:type="spellEnd"/>
      <w:r>
        <w:rPr>
          <w:lang w:val="ru-RU"/>
        </w:rPr>
        <w:t xml:space="preserve"> опросов.</w:t>
      </w:r>
    </w:p>
    <w:p w:rsidR="00F0217F" w:rsidRDefault="00F0217F" w:rsidP="00CE6EA7">
      <w:pPr>
        <w:pStyle w:val="a3"/>
        <w:ind w:left="-709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162477" cy="72400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7F" w:rsidRDefault="00F0217F" w:rsidP="00CE6EA7">
      <w:pPr>
        <w:pStyle w:val="a3"/>
        <w:ind w:left="-709"/>
        <w:rPr>
          <w:lang w:val="ru-RU"/>
        </w:rPr>
      </w:pPr>
      <w:r>
        <w:rPr>
          <w:lang w:val="ru-RU"/>
        </w:rPr>
        <w:t xml:space="preserve">Реализована </w:t>
      </w:r>
      <w:proofErr w:type="gramStart"/>
      <w:r>
        <w:rPr>
          <w:lang w:val="ru-RU"/>
        </w:rPr>
        <w:t xml:space="preserve">блокировка </w:t>
      </w:r>
      <w:r w:rsidR="00765501">
        <w:rPr>
          <w:lang w:val="ru-RU"/>
        </w:rPr>
        <w:t xml:space="preserve"> на</w:t>
      </w:r>
      <w:proofErr w:type="gramEnd"/>
      <w:r w:rsidR="00765501">
        <w:rPr>
          <w:lang w:val="ru-RU"/>
        </w:rPr>
        <w:t xml:space="preserve"> запуск  режима при  запущенном опросе, переключение возможно только при остановленном опросе  </w:t>
      </w:r>
      <w:r w:rsidR="00765501">
        <w:rPr>
          <w:lang w:val="ru-RU"/>
        </w:rPr>
        <w:t xml:space="preserve">форм </w:t>
      </w:r>
      <w:r w:rsidR="00765501">
        <w:rPr>
          <w:lang w:val="en-US"/>
        </w:rPr>
        <w:t>Watch</w:t>
      </w:r>
      <w:r w:rsidR="00765501" w:rsidRPr="00F0217F">
        <w:rPr>
          <w:lang w:val="ru-RU"/>
        </w:rPr>
        <w:t xml:space="preserve"> </w:t>
      </w:r>
      <w:r w:rsidR="00765501">
        <w:rPr>
          <w:lang w:val="ru-RU"/>
        </w:rPr>
        <w:t>и чтения записи уставок</w:t>
      </w:r>
      <w:r w:rsidR="00765501">
        <w:rPr>
          <w:lang w:val="ru-RU"/>
        </w:rPr>
        <w:t>!</w:t>
      </w:r>
    </w:p>
    <w:p w:rsidR="00765501" w:rsidRPr="00F0217F" w:rsidRDefault="00765501" w:rsidP="00CE6EA7">
      <w:pPr>
        <w:pStyle w:val="a3"/>
        <w:ind w:left="-709"/>
        <w:rPr>
          <w:lang w:val="ru-RU"/>
        </w:rPr>
      </w:pPr>
      <w:bookmarkStart w:id="0" w:name="_GoBack"/>
      <w:r>
        <w:rPr>
          <w:noProof/>
          <w:lang w:val="ru-RU"/>
        </w:rPr>
        <w:drawing>
          <wp:inline distT="0" distB="0" distL="0" distR="0">
            <wp:extent cx="5001323" cy="125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501" w:rsidRPr="00F0217F" w:rsidSect="00CE6EA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5001"/>
    <w:multiLevelType w:val="hybridMultilevel"/>
    <w:tmpl w:val="A9B4E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6B4"/>
    <w:rsid w:val="001F3142"/>
    <w:rsid w:val="00471C66"/>
    <w:rsid w:val="004E1B86"/>
    <w:rsid w:val="00765501"/>
    <w:rsid w:val="00A07541"/>
    <w:rsid w:val="00A16A8E"/>
    <w:rsid w:val="00B87879"/>
    <w:rsid w:val="00C74475"/>
    <w:rsid w:val="00C956B4"/>
    <w:rsid w:val="00CE6EA7"/>
    <w:rsid w:val="00D02819"/>
    <w:rsid w:val="00E77EB8"/>
    <w:rsid w:val="00F0217F"/>
    <w:rsid w:val="00F61EEA"/>
    <w:rsid w:val="00FC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00B4"/>
  <w15:chartTrackingRefBased/>
  <w15:docId w15:val="{434BEFA0-034F-460E-968E-4C5F3961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AB15D-A347-4416-8733-AEEF054C2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Руденко Александра Петровна</dc:creator>
  <cp:keywords/>
  <dc:description/>
  <cp:lastModifiedBy>Руденко Александра Петровна</cp:lastModifiedBy>
  <cp:revision>6</cp:revision>
  <dcterms:created xsi:type="dcterms:W3CDTF">2021-11-18T11:31:00Z</dcterms:created>
  <dcterms:modified xsi:type="dcterms:W3CDTF">2021-11-26T09:14:00Z</dcterms:modified>
</cp:coreProperties>
</file>