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D36A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0" w:name="_Toc115116067"/>
      <w:bookmarkStart w:id="1" w:name="_Toc115116176"/>
      <w:r w:rsidRPr="00596E5B">
        <w:rPr>
          <w:rFonts w:eastAsia="Times New Roman" w:cs="Times New Roman"/>
          <w:color w:val="000000"/>
          <w:szCs w:val="28"/>
          <w:lang w:eastAsia="ru-RU"/>
        </w:rPr>
        <w:t>МИНИСТЕРСТВО ОБРАЗОВАНИЯ РЕСПУБЛИКИ БЕЛАРУСЬ</w:t>
      </w:r>
      <w:bookmarkEnd w:id="0"/>
      <w:bookmarkEnd w:id="1"/>
    </w:p>
    <w:p w14:paraId="1A917675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2" w:name="_Toc115116068"/>
      <w:bookmarkStart w:id="3" w:name="_Toc115116177"/>
      <w:r w:rsidRPr="00596E5B">
        <w:rPr>
          <w:rFonts w:eastAsia="Times New Roman" w:cs="Times New Roman"/>
          <w:color w:val="000000"/>
          <w:szCs w:val="28"/>
          <w:lang w:eastAsia="ru-RU"/>
        </w:rPr>
        <w:t>УО “ПОЛОЦКИЙ ГОСУДАРСТВЕННЫЙ УНИВЕРСИТЕТ”</w:t>
      </w:r>
      <w:bookmarkEnd w:id="2"/>
      <w:bookmarkEnd w:id="3"/>
    </w:p>
    <w:p w14:paraId="597A1E2D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3CE47C9D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248D6BD4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4" w:name="_Toc115116069"/>
      <w:bookmarkStart w:id="5" w:name="_Toc115116178"/>
      <w:r w:rsidRPr="00596E5B">
        <w:rPr>
          <w:rFonts w:eastAsia="Times New Roman" w:cs="Times New Roman"/>
          <w:color w:val="000000"/>
          <w:szCs w:val="28"/>
          <w:lang w:eastAsia="ru-RU"/>
        </w:rPr>
        <w:t>Гуманитарный факультет</w:t>
      </w:r>
      <w:bookmarkEnd w:id="4"/>
      <w:bookmarkEnd w:id="5"/>
    </w:p>
    <w:p w14:paraId="606E60DB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6" w:name="_Toc115116070"/>
      <w:bookmarkStart w:id="7" w:name="_Toc115116179"/>
      <w:r w:rsidRPr="00596E5B">
        <w:rPr>
          <w:rFonts w:eastAsia="Times New Roman" w:cs="Times New Roman"/>
          <w:color w:val="000000"/>
          <w:szCs w:val="28"/>
          <w:lang w:eastAsia="ru-RU"/>
        </w:rPr>
        <w:t>Кафедра технологии и методики преподавания</w:t>
      </w:r>
      <w:bookmarkEnd w:id="6"/>
      <w:bookmarkEnd w:id="7"/>
    </w:p>
    <w:p w14:paraId="05869E49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1872F924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0DCC8A69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7AE697B0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7B5627F4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8" w:name="_Toc115116071"/>
      <w:bookmarkStart w:id="9" w:name="_Toc115116180"/>
      <w:r w:rsidRPr="00596E5B">
        <w:rPr>
          <w:rFonts w:eastAsia="Times New Roman" w:cs="Times New Roman"/>
          <w:color w:val="000000"/>
          <w:szCs w:val="28"/>
          <w:lang w:eastAsia="ru-RU"/>
        </w:rPr>
        <w:t>РЕФЕРАТ</w:t>
      </w:r>
      <w:bookmarkEnd w:id="8"/>
      <w:bookmarkEnd w:id="9"/>
    </w:p>
    <w:p w14:paraId="3347C6EF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10" w:name="_Toc115116072"/>
      <w:bookmarkStart w:id="11" w:name="_Toc115116181"/>
      <w:r w:rsidRPr="00596E5B">
        <w:rPr>
          <w:rFonts w:eastAsia="Times New Roman" w:cs="Times New Roman"/>
          <w:color w:val="000000"/>
          <w:szCs w:val="28"/>
          <w:lang w:eastAsia="ru-RU"/>
        </w:rPr>
        <w:t>по дисциплине “Основы психологии и педагогики”</w:t>
      </w:r>
      <w:bookmarkEnd w:id="10"/>
      <w:bookmarkEnd w:id="11"/>
    </w:p>
    <w:p w14:paraId="63A78C13" w14:textId="59662B9F" w:rsidR="00570AFC" w:rsidRPr="00596E5B" w:rsidRDefault="00600E24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12" w:name="_Toc115116073"/>
      <w:bookmarkStart w:id="13" w:name="_Toc115116182"/>
      <w:r w:rsidRPr="00600E24">
        <w:rPr>
          <w:rFonts w:eastAsia="Times New Roman" w:cs="Times New Roman"/>
          <w:color w:val="000000"/>
          <w:szCs w:val="28"/>
          <w:lang w:eastAsia="ru-RU"/>
        </w:rPr>
        <w:t>Болонский процесс</w:t>
      </w:r>
      <w:r w:rsidR="00570AFC" w:rsidRPr="00600E24">
        <w:rPr>
          <w:rFonts w:eastAsia="Times New Roman" w:cs="Times New Roman"/>
          <w:color w:val="000000"/>
          <w:szCs w:val="28"/>
          <w:lang w:eastAsia="ru-RU"/>
        </w:rPr>
        <w:t>.</w:t>
      </w:r>
      <w:bookmarkEnd w:id="12"/>
      <w:bookmarkEnd w:id="13"/>
      <w:r w:rsidR="00570AFC" w:rsidRPr="00596E5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DB59928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2AC16EB8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59C164DB" w14:textId="77777777" w:rsidR="00570AFC" w:rsidRPr="00596E5B" w:rsidRDefault="00570AFC" w:rsidP="008A0578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6B47017E" w14:textId="77777777" w:rsidR="008A0578" w:rsidRPr="00596E5B" w:rsidRDefault="008A0578" w:rsidP="008A0578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1E113A1C" w14:textId="77777777" w:rsidR="008A0578" w:rsidRPr="00596E5B" w:rsidRDefault="008A0578" w:rsidP="008A0578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15EEF70D" w14:textId="77777777" w:rsidR="008A0578" w:rsidRPr="00596E5B" w:rsidRDefault="008A0578" w:rsidP="008A0578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0B886E04" w14:textId="77777777" w:rsidR="008A0578" w:rsidRPr="00596E5B" w:rsidRDefault="008A0578" w:rsidP="008A0578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0BF13D17" w14:textId="17B235D1" w:rsidR="00570AFC" w:rsidRPr="00596E5B" w:rsidRDefault="00600E24" w:rsidP="008A0578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14" w:name="_Toc115116074"/>
      <w:bookmarkStart w:id="15" w:name="_Toc115116183"/>
      <w:r>
        <w:rPr>
          <w:rFonts w:eastAsia="Times New Roman" w:cs="Times New Roman"/>
          <w:color w:val="000000"/>
          <w:szCs w:val="28"/>
          <w:lang w:eastAsia="ru-RU"/>
        </w:rPr>
        <w:t>Макеёнок</w:t>
      </w:r>
      <w:r w:rsidR="008A0578" w:rsidRPr="00596E5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Денис </w:t>
      </w:r>
      <w:bookmarkEnd w:id="14"/>
      <w:bookmarkEnd w:id="15"/>
      <w:r>
        <w:rPr>
          <w:rFonts w:eastAsia="Times New Roman" w:cs="Times New Roman"/>
          <w:color w:val="000000"/>
          <w:szCs w:val="28"/>
          <w:lang w:eastAsia="ru-RU"/>
        </w:rPr>
        <w:t>Игоревич</w:t>
      </w:r>
    </w:p>
    <w:p w14:paraId="40C14038" w14:textId="77777777" w:rsidR="008A0578" w:rsidRPr="00596E5B" w:rsidRDefault="008A0578" w:rsidP="008A0578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16" w:name="_Toc115116075"/>
      <w:bookmarkStart w:id="17" w:name="_Toc115116184"/>
      <w:r w:rsidRPr="00596E5B">
        <w:rPr>
          <w:rFonts w:eastAsia="Times New Roman" w:cs="Times New Roman"/>
          <w:color w:val="000000"/>
          <w:szCs w:val="28"/>
          <w:lang w:eastAsia="ru-RU"/>
        </w:rPr>
        <w:t>2 курс, 21-ИТ-1</w:t>
      </w:r>
      <w:bookmarkEnd w:id="16"/>
      <w:bookmarkEnd w:id="17"/>
    </w:p>
    <w:p w14:paraId="50C98C45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5F170A6E" w14:textId="77777777" w:rsidR="008A0578" w:rsidRPr="00596E5B" w:rsidRDefault="008A0578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11F81639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18" w:name="_Toc115116076"/>
      <w:bookmarkStart w:id="19" w:name="_Toc115116185"/>
      <w:r w:rsidRPr="00596E5B">
        <w:rPr>
          <w:rFonts w:eastAsia="Times New Roman" w:cs="Times New Roman"/>
          <w:color w:val="000000"/>
          <w:szCs w:val="28"/>
          <w:lang w:eastAsia="ru-RU"/>
        </w:rPr>
        <w:t>Проверил:</w:t>
      </w:r>
      <w:bookmarkEnd w:id="18"/>
      <w:bookmarkEnd w:id="19"/>
    </w:p>
    <w:p w14:paraId="757950A3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20" w:name="_Toc115116077"/>
      <w:bookmarkStart w:id="21" w:name="_Toc115116186"/>
      <w:r w:rsidRPr="00596E5B">
        <w:rPr>
          <w:rFonts w:eastAsia="Times New Roman" w:cs="Times New Roman"/>
          <w:color w:val="000000"/>
          <w:szCs w:val="28"/>
          <w:lang w:eastAsia="ru-RU"/>
        </w:rPr>
        <w:t>Полянская Татьяна Владимировна,</w:t>
      </w:r>
      <w:bookmarkEnd w:id="20"/>
      <w:bookmarkEnd w:id="21"/>
    </w:p>
    <w:p w14:paraId="4A176571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22" w:name="_Toc115116078"/>
      <w:bookmarkStart w:id="23" w:name="_Toc115116187"/>
      <w:r w:rsidRPr="00596E5B">
        <w:rPr>
          <w:rFonts w:eastAsia="Times New Roman" w:cs="Times New Roman"/>
          <w:color w:val="000000"/>
          <w:szCs w:val="28"/>
          <w:lang w:eastAsia="ru-RU"/>
        </w:rPr>
        <w:t>магистр психологических наук,</w:t>
      </w:r>
      <w:bookmarkEnd w:id="22"/>
      <w:bookmarkEnd w:id="23"/>
    </w:p>
    <w:p w14:paraId="7E9B6D00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right"/>
        <w:outlineLvl w:val="0"/>
        <w:rPr>
          <w:rFonts w:eastAsia="Times New Roman" w:cs="Times New Roman"/>
          <w:color w:val="000000"/>
          <w:szCs w:val="28"/>
          <w:lang w:eastAsia="ru-RU"/>
        </w:rPr>
      </w:pPr>
      <w:bookmarkStart w:id="24" w:name="_Toc115116079"/>
      <w:bookmarkStart w:id="25" w:name="_Toc115116188"/>
      <w:r w:rsidRPr="00596E5B">
        <w:rPr>
          <w:rFonts w:eastAsia="Times New Roman" w:cs="Times New Roman"/>
          <w:color w:val="000000"/>
          <w:szCs w:val="28"/>
          <w:lang w:eastAsia="ru-RU"/>
        </w:rPr>
        <w:t>старший преподаватель</w:t>
      </w:r>
      <w:bookmarkEnd w:id="24"/>
      <w:bookmarkEnd w:id="25"/>
    </w:p>
    <w:p w14:paraId="2BB187BF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54B16FD8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361C99EB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0249AE28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5FAAE994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3ACFC3AF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4F92F727" w14:textId="77777777" w:rsidR="008A0578" w:rsidRPr="00596E5B" w:rsidRDefault="008A0578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54206031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79172D83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0939E225" w14:textId="77777777" w:rsidR="008A0578" w:rsidRPr="00596E5B" w:rsidRDefault="008A0578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0CA55A1F" w14:textId="77777777" w:rsidR="008A0578" w:rsidRPr="00596E5B" w:rsidRDefault="008A0578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3E7EFEF9" w14:textId="77777777" w:rsidR="008A0578" w:rsidRPr="00596E5B" w:rsidRDefault="008A0578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29087AA3" w14:textId="2AC742BB" w:rsidR="00570AFC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74FDD7D0" w14:textId="77777777" w:rsidR="00600E24" w:rsidRPr="00596E5B" w:rsidRDefault="00600E24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4555936F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7F05E974" w14:textId="77777777" w:rsidR="00570AFC" w:rsidRPr="00596E5B" w:rsidRDefault="00570AFC" w:rsidP="00570AFC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color w:val="000000"/>
          <w:szCs w:val="28"/>
          <w:lang w:eastAsia="ru-RU"/>
        </w:rPr>
      </w:pPr>
    </w:p>
    <w:p w14:paraId="20DA0912" w14:textId="77777777" w:rsidR="00570AFC" w:rsidRPr="00596E5B" w:rsidRDefault="00570AFC" w:rsidP="00596E5B">
      <w:pPr>
        <w:spacing w:before="100" w:beforeAutospacing="1" w:after="100" w:afterAutospacing="1" w:line="240" w:lineRule="auto"/>
        <w:ind w:firstLine="851"/>
        <w:contextualSpacing/>
        <w:jc w:val="center"/>
        <w:outlineLvl w:val="0"/>
        <w:rPr>
          <w:rFonts w:eastAsia="Times New Roman" w:cs="Times New Roman"/>
          <w:szCs w:val="28"/>
          <w:lang w:eastAsia="ru-RU"/>
        </w:rPr>
      </w:pPr>
      <w:bookmarkStart w:id="26" w:name="_Toc115116080"/>
      <w:bookmarkStart w:id="27" w:name="_Toc115116189"/>
      <w:r w:rsidRPr="00596E5B">
        <w:rPr>
          <w:rFonts w:eastAsia="Times New Roman" w:cs="Times New Roman"/>
          <w:color w:val="000000"/>
          <w:szCs w:val="28"/>
          <w:lang w:eastAsia="ru-RU"/>
        </w:rPr>
        <w:t>Новополоцк, 2021</w:t>
      </w:r>
      <w:bookmarkEnd w:id="26"/>
      <w:bookmarkEnd w:id="27"/>
      <w:r w:rsidRPr="00596E5B">
        <w:rPr>
          <w:rFonts w:eastAsia="Times New Roman" w:cs="Times New Roman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74262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AA9D0" w14:textId="77777777" w:rsidR="003B6593" w:rsidRPr="00D30382" w:rsidRDefault="003B6593" w:rsidP="003B6593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3038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3718C32" w14:textId="77777777" w:rsidR="003B6593" w:rsidRPr="00D30382" w:rsidRDefault="003B6593" w:rsidP="003B6593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D30382">
            <w:rPr>
              <w:rFonts w:cs="Times New Roman"/>
              <w:szCs w:val="28"/>
            </w:rPr>
            <w:fldChar w:fldCharType="begin"/>
          </w:r>
          <w:r w:rsidRPr="00D30382">
            <w:rPr>
              <w:rFonts w:cs="Times New Roman"/>
              <w:szCs w:val="28"/>
            </w:rPr>
            <w:instrText xml:space="preserve"> TOC \o "1-3" \h \z \u </w:instrText>
          </w:r>
          <w:r w:rsidRPr="00D30382">
            <w:rPr>
              <w:rFonts w:cs="Times New Roman"/>
              <w:szCs w:val="28"/>
            </w:rPr>
            <w:fldChar w:fldCharType="separate"/>
          </w:r>
        </w:p>
        <w:p w14:paraId="261C28C4" w14:textId="77777777" w:rsidR="003B6593" w:rsidRPr="00D30382" w:rsidRDefault="00000000" w:rsidP="00566F25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15116191" w:history="1">
            <w:r w:rsidR="003B6593" w:rsidRPr="00D30382">
              <w:rPr>
                <w:rStyle w:val="a6"/>
                <w:rFonts w:cs="Times New Roman"/>
                <w:noProof/>
                <w:color w:val="auto"/>
                <w:szCs w:val="28"/>
                <w:u w:val="none"/>
              </w:rPr>
              <w:t>ВВЕДЕНИЕ</w:t>
            </w:r>
            <w:r w:rsidR="003B6593" w:rsidRPr="00D30382">
              <w:rPr>
                <w:rFonts w:cs="Times New Roman"/>
                <w:noProof/>
                <w:webHidden/>
                <w:szCs w:val="28"/>
              </w:rPr>
              <w:tab/>
              <w:t>3</w:t>
            </w:r>
          </w:hyperlink>
        </w:p>
        <w:p w14:paraId="2154AF70" w14:textId="54A87275" w:rsidR="003B6593" w:rsidRPr="00D30382" w:rsidRDefault="00DC12C5" w:rsidP="00566F25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D30382">
            <w:t xml:space="preserve">1 </w:t>
          </w:r>
          <w:hyperlink w:anchor="_Toc115116191" w:history="1">
            <w:r w:rsidR="00636B43" w:rsidRPr="00D30382">
              <w:rPr>
                <w:rStyle w:val="a6"/>
                <w:rFonts w:cs="Times New Roman"/>
                <w:noProof/>
                <w:color w:val="auto"/>
                <w:szCs w:val="28"/>
                <w:u w:val="none"/>
              </w:rPr>
              <w:t xml:space="preserve">История </w:t>
            </w:r>
            <w:r w:rsidR="00611DF8" w:rsidRPr="00D30382">
              <w:rPr>
                <w:rFonts w:eastAsia="Times New Roman" w:cs="Times New Roman"/>
                <w:szCs w:val="28"/>
                <w:lang w:eastAsia="ru-RU"/>
              </w:rPr>
              <w:t>Б</w:t>
            </w:r>
            <w:r w:rsidR="00636B43" w:rsidRPr="00D30382">
              <w:rPr>
                <w:rFonts w:eastAsia="Times New Roman" w:cs="Times New Roman"/>
                <w:szCs w:val="28"/>
                <w:lang w:eastAsia="ru-RU"/>
              </w:rPr>
              <w:t>олонского процесса</w:t>
            </w:r>
            <w:r w:rsidR="003B6593" w:rsidRPr="00D30382">
              <w:rPr>
                <w:rFonts w:cs="Times New Roman"/>
                <w:noProof/>
                <w:webHidden/>
                <w:szCs w:val="28"/>
              </w:rPr>
              <w:tab/>
            </w:r>
            <w:r w:rsidR="001222F0" w:rsidRPr="00D30382">
              <w:rPr>
                <w:rFonts w:cs="Times New Roman"/>
                <w:noProof/>
                <w:webHidden/>
                <w:szCs w:val="28"/>
              </w:rPr>
              <w:t>4</w:t>
            </w:r>
          </w:hyperlink>
        </w:p>
        <w:p w14:paraId="5A09829A" w14:textId="111BE9D3" w:rsidR="00DC12C5" w:rsidRPr="00D30382" w:rsidRDefault="00DC12C5" w:rsidP="00DC12C5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D30382">
            <w:t xml:space="preserve">2 </w:t>
          </w:r>
          <w:hyperlink w:anchor="_Toc115116192" w:history="1">
            <w:r w:rsidR="00611DF8" w:rsidRPr="00D30382">
              <w:t>Б</w:t>
            </w:r>
            <w:r w:rsidRPr="00D30382">
              <w:rPr>
                <w:rStyle w:val="a6"/>
                <w:rFonts w:cs="Times New Roman"/>
                <w:noProof/>
                <w:color w:val="auto"/>
                <w:szCs w:val="28"/>
                <w:u w:val="none"/>
              </w:rPr>
              <w:t>олонск</w:t>
            </w:r>
            <w:r w:rsidR="00611DF8" w:rsidRPr="00D30382">
              <w:rPr>
                <w:rStyle w:val="a6"/>
                <w:rFonts w:cs="Times New Roman"/>
                <w:noProof/>
                <w:color w:val="auto"/>
                <w:szCs w:val="28"/>
                <w:u w:val="none"/>
              </w:rPr>
              <w:t>ая</w:t>
            </w:r>
            <w:r w:rsidRPr="00D30382">
              <w:rPr>
                <w:rStyle w:val="a6"/>
                <w:rFonts w:cs="Times New Roman"/>
                <w:noProof/>
                <w:color w:val="auto"/>
                <w:szCs w:val="28"/>
                <w:u w:val="none"/>
              </w:rPr>
              <w:t xml:space="preserve"> </w:t>
            </w:r>
            <w:r w:rsidR="00611DF8" w:rsidRPr="00D30382">
              <w:rPr>
                <w:rStyle w:val="a6"/>
                <w:rFonts w:cs="Times New Roman"/>
                <w:noProof/>
                <w:color w:val="auto"/>
                <w:szCs w:val="28"/>
                <w:u w:val="none"/>
              </w:rPr>
              <w:t>система образования</w:t>
            </w:r>
            <w:r w:rsidR="003B6593" w:rsidRPr="00D30382">
              <w:rPr>
                <w:rFonts w:cs="Times New Roman"/>
                <w:noProof/>
                <w:webHidden/>
                <w:szCs w:val="28"/>
              </w:rPr>
              <w:tab/>
            </w:r>
            <w:r w:rsidR="003B6593" w:rsidRPr="00D3038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B6593" w:rsidRPr="00D30382">
              <w:rPr>
                <w:rFonts w:cs="Times New Roman"/>
                <w:noProof/>
                <w:webHidden/>
                <w:szCs w:val="28"/>
              </w:rPr>
              <w:instrText xml:space="preserve"> PAGEREF _Toc115116192 \h </w:instrText>
            </w:r>
            <w:r w:rsidR="003B6593" w:rsidRPr="00D30382">
              <w:rPr>
                <w:rFonts w:cs="Times New Roman"/>
                <w:noProof/>
                <w:webHidden/>
                <w:szCs w:val="28"/>
              </w:rPr>
            </w:r>
            <w:r w:rsidR="003B6593" w:rsidRPr="00D3038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B6593" w:rsidRPr="00D30382">
              <w:rPr>
                <w:rFonts w:cs="Times New Roman"/>
                <w:noProof/>
                <w:webHidden/>
                <w:szCs w:val="28"/>
              </w:rPr>
              <w:t>6</w:t>
            </w:r>
            <w:r w:rsidR="003B6593" w:rsidRPr="00D3038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301E60C" w14:textId="5A2C5CDD" w:rsidR="00DC12C5" w:rsidRPr="00D30382" w:rsidRDefault="00DC12C5" w:rsidP="00DC12C5">
          <w:pPr>
            <w:pStyle w:val="12"/>
            <w:tabs>
              <w:tab w:val="right" w:leader="dot" w:pos="9345"/>
            </w:tabs>
            <w:rPr>
              <w:rStyle w:val="a6"/>
              <w:rFonts w:cs="Times New Roman"/>
              <w:noProof/>
              <w:color w:val="auto"/>
              <w:szCs w:val="28"/>
              <w:u w:val="none"/>
            </w:rPr>
          </w:pPr>
          <w:r w:rsidRPr="00D30382">
            <w:rPr>
              <w:rFonts w:cs="Times New Roman"/>
              <w:noProof/>
              <w:szCs w:val="28"/>
            </w:rPr>
            <w:t xml:space="preserve">   </w:t>
          </w:r>
          <w:r w:rsidR="00566F25" w:rsidRPr="00D30382">
            <w:rPr>
              <w:rFonts w:cs="Times New Roman"/>
              <w:noProof/>
              <w:szCs w:val="28"/>
            </w:rPr>
            <w:t xml:space="preserve">     </w:t>
          </w:r>
          <w:r w:rsidRPr="00D30382">
            <w:rPr>
              <w:rFonts w:cs="Times New Roman"/>
              <w:noProof/>
              <w:szCs w:val="28"/>
            </w:rPr>
            <w:t xml:space="preserve">  2.1 </w:t>
          </w:r>
          <w:hyperlink r:id="rId6" w:anchor="one" w:history="1">
            <w:r w:rsidRPr="00D30382">
              <w:rPr>
                <w:rStyle w:val="a6"/>
                <w:rFonts w:cs="Times New Roman"/>
                <w:noProof/>
                <w:color w:val="auto"/>
                <w:szCs w:val="28"/>
                <w:u w:val="none"/>
              </w:rPr>
              <w:t>Что такое Болонская система образования</w:t>
            </w:r>
          </w:hyperlink>
          <w:r w:rsidRPr="00D30382">
            <w:rPr>
              <w:rStyle w:val="a6"/>
              <w:rFonts w:cs="Times New Roman"/>
              <w:noProof/>
              <w:webHidden/>
              <w:color w:val="auto"/>
              <w:szCs w:val="28"/>
              <w:u w:val="none"/>
            </w:rPr>
            <w:tab/>
          </w:r>
          <w:r w:rsidR="001222F0" w:rsidRPr="00D30382">
            <w:rPr>
              <w:rStyle w:val="a6"/>
              <w:rFonts w:cs="Times New Roman"/>
              <w:noProof/>
              <w:webHidden/>
              <w:color w:val="auto"/>
              <w:szCs w:val="28"/>
              <w:u w:val="none"/>
            </w:rPr>
            <w:t>5</w:t>
          </w:r>
        </w:p>
        <w:p w14:paraId="79BDA349" w14:textId="31201E26" w:rsidR="00DC12C5" w:rsidRPr="00D30382" w:rsidRDefault="00DC12C5" w:rsidP="00DC12C5">
          <w:pPr>
            <w:pStyle w:val="12"/>
            <w:tabs>
              <w:tab w:val="right" w:leader="dot" w:pos="9345"/>
            </w:tabs>
          </w:pPr>
          <w:r w:rsidRPr="00D30382">
            <w:t xml:space="preserve">   </w:t>
          </w:r>
          <w:r w:rsidR="00566F25" w:rsidRPr="00D30382">
            <w:t xml:space="preserve">     </w:t>
          </w:r>
          <w:r w:rsidRPr="00D30382">
            <w:t xml:space="preserve">  2.2 </w:t>
          </w:r>
          <w:hyperlink r:id="rId7" w:anchor="two" w:history="1">
            <w:r w:rsidRPr="00D30382">
              <w:t>Суть Болонской системы образования</w:t>
            </w:r>
          </w:hyperlink>
          <w:r w:rsidRPr="00D30382">
            <w:rPr>
              <w:webHidden/>
            </w:rPr>
            <w:tab/>
            <w:t>6</w:t>
          </w:r>
        </w:p>
        <w:p w14:paraId="7014839B" w14:textId="4C7B1D36" w:rsidR="00DC12C5" w:rsidRPr="00D30382" w:rsidRDefault="00DC12C5" w:rsidP="00DC12C5">
          <w:pPr>
            <w:pStyle w:val="12"/>
            <w:tabs>
              <w:tab w:val="right" w:leader="dot" w:pos="9345"/>
            </w:tabs>
            <w:rPr>
              <w:rStyle w:val="a6"/>
              <w:rFonts w:cs="Times New Roman"/>
              <w:noProof/>
              <w:color w:val="auto"/>
              <w:szCs w:val="28"/>
              <w:u w:val="none"/>
            </w:rPr>
          </w:pPr>
          <w:r w:rsidRPr="00D30382">
            <w:rPr>
              <w:rStyle w:val="a6"/>
              <w:rFonts w:cs="Times New Roman"/>
              <w:noProof/>
              <w:color w:val="auto"/>
              <w:szCs w:val="28"/>
              <w:u w:val="none"/>
            </w:rPr>
            <w:t xml:space="preserve">   </w:t>
          </w:r>
          <w:r w:rsidR="00566F25" w:rsidRPr="00D30382">
            <w:rPr>
              <w:rStyle w:val="a6"/>
              <w:rFonts w:cs="Times New Roman"/>
              <w:noProof/>
              <w:color w:val="auto"/>
              <w:szCs w:val="28"/>
              <w:u w:val="none"/>
            </w:rPr>
            <w:t xml:space="preserve">     </w:t>
          </w:r>
          <w:r w:rsidRPr="00D30382">
            <w:rPr>
              <w:rStyle w:val="a6"/>
              <w:rFonts w:cs="Times New Roman"/>
              <w:noProof/>
              <w:color w:val="auto"/>
              <w:szCs w:val="28"/>
              <w:u w:val="none"/>
            </w:rPr>
            <w:t xml:space="preserve">  2.3 </w:t>
          </w:r>
          <w:hyperlink r:id="rId8" w:anchor="three" w:history="1">
            <w:r w:rsidRPr="00D30382">
              <w:rPr>
                <w:rStyle w:val="a6"/>
                <w:rFonts w:cs="Times New Roman"/>
                <w:noProof/>
                <w:color w:val="auto"/>
                <w:szCs w:val="28"/>
                <w:u w:val="none"/>
              </w:rPr>
              <w:t>Основные принципы Болонской системы</w:t>
            </w:r>
          </w:hyperlink>
          <w:r w:rsidRPr="00D30382">
            <w:rPr>
              <w:rStyle w:val="a6"/>
              <w:rFonts w:cs="Times New Roman"/>
              <w:noProof/>
              <w:webHidden/>
              <w:color w:val="auto"/>
              <w:szCs w:val="28"/>
              <w:u w:val="none"/>
            </w:rPr>
            <w:tab/>
            <w:t>6</w:t>
          </w:r>
        </w:p>
        <w:p w14:paraId="17770935" w14:textId="69571587" w:rsidR="003B6593" w:rsidRPr="00D30382" w:rsidRDefault="00000000">
          <w:pPr>
            <w:pStyle w:val="12"/>
            <w:tabs>
              <w:tab w:val="right" w:leader="dot" w:pos="9345"/>
            </w:tabs>
            <w:rPr>
              <w:rStyle w:val="a6"/>
              <w:color w:val="auto"/>
              <w:u w:val="none"/>
            </w:rPr>
          </w:pPr>
          <w:hyperlink w:anchor="_Toc115116193" w:history="1">
            <w:r w:rsidR="003B6593" w:rsidRPr="00D30382">
              <w:rPr>
                <w:rStyle w:val="a6"/>
                <w:rFonts w:cs="Times New Roman"/>
                <w:noProof/>
                <w:color w:val="auto"/>
                <w:szCs w:val="28"/>
                <w:u w:val="none"/>
              </w:rPr>
              <w:t xml:space="preserve">3 </w:t>
            </w:r>
            <w:r w:rsidR="00566F25" w:rsidRPr="00D30382">
              <w:rPr>
                <w:rFonts w:cs="Times New Roman"/>
                <w:szCs w:val="28"/>
              </w:rPr>
              <w:t>Вступление Беларуси в Болонский процесс</w:t>
            </w:r>
            <w:r w:rsidR="003B6593" w:rsidRPr="00D30382">
              <w:rPr>
                <w:rStyle w:val="a6"/>
                <w:webHidden/>
                <w:color w:val="auto"/>
                <w:u w:val="none"/>
              </w:rPr>
              <w:tab/>
            </w:r>
            <w:r w:rsidR="003B6593" w:rsidRPr="00D30382">
              <w:rPr>
                <w:rStyle w:val="a6"/>
                <w:webHidden/>
                <w:color w:val="auto"/>
                <w:u w:val="none"/>
              </w:rPr>
              <w:fldChar w:fldCharType="begin"/>
            </w:r>
            <w:r w:rsidR="003B6593" w:rsidRPr="00D30382">
              <w:rPr>
                <w:rStyle w:val="a6"/>
                <w:webHidden/>
                <w:color w:val="auto"/>
                <w:u w:val="none"/>
              </w:rPr>
              <w:instrText xml:space="preserve"> PAGEREF _Toc115116193 \h </w:instrText>
            </w:r>
            <w:r w:rsidR="003B6593" w:rsidRPr="00D30382">
              <w:rPr>
                <w:rStyle w:val="a6"/>
                <w:webHidden/>
                <w:color w:val="auto"/>
                <w:u w:val="none"/>
              </w:rPr>
            </w:r>
            <w:r w:rsidR="003B6593" w:rsidRPr="00D30382">
              <w:rPr>
                <w:rStyle w:val="a6"/>
                <w:webHidden/>
                <w:color w:val="auto"/>
                <w:u w:val="none"/>
              </w:rPr>
              <w:fldChar w:fldCharType="separate"/>
            </w:r>
            <w:r w:rsidR="003B6593" w:rsidRPr="00D30382">
              <w:rPr>
                <w:rStyle w:val="a6"/>
                <w:webHidden/>
                <w:color w:val="auto"/>
                <w:u w:val="none"/>
              </w:rPr>
              <w:t>7</w:t>
            </w:r>
            <w:r w:rsidR="003B6593" w:rsidRPr="00D30382">
              <w:rPr>
                <w:rStyle w:val="a6"/>
                <w:webHidden/>
                <w:color w:val="auto"/>
                <w:u w:val="none"/>
              </w:rPr>
              <w:fldChar w:fldCharType="end"/>
            </w:r>
          </w:hyperlink>
        </w:p>
        <w:p w14:paraId="25D723F4" w14:textId="579AAD3F" w:rsidR="00566F25" w:rsidRPr="00D30382" w:rsidRDefault="00566F25" w:rsidP="00566F25">
          <w:pPr>
            <w:pStyle w:val="10"/>
            <w:numPr>
              <w:ilvl w:val="1"/>
              <w:numId w:val="10"/>
            </w:numPr>
            <w:tabs>
              <w:tab w:val="left" w:leader="dot" w:pos="567"/>
              <w:tab w:val="right" w:leader="dot" w:pos="9344"/>
            </w:tabs>
            <w:spacing w:beforeAutospacing="0" w:after="100"/>
            <w:ind w:left="1129"/>
            <w:contextualSpacing/>
            <w:rPr>
              <w:b w:val="0"/>
              <w:bCs w:val="0"/>
              <w:szCs w:val="28"/>
            </w:rPr>
          </w:pPr>
          <w:r w:rsidRPr="00D30382">
            <w:rPr>
              <w:b w:val="0"/>
              <w:bCs w:val="0"/>
              <w:szCs w:val="28"/>
            </w:rPr>
            <w:t>Стадии Болонского процесса</w:t>
          </w:r>
          <w:r w:rsidRPr="00D30382">
            <w:rPr>
              <w:b w:val="0"/>
              <w:bCs w:val="0"/>
              <w:szCs w:val="28"/>
            </w:rPr>
            <w:tab/>
          </w:r>
          <w:r w:rsidR="001222F0" w:rsidRPr="00D30382">
            <w:rPr>
              <w:b w:val="0"/>
              <w:bCs w:val="0"/>
              <w:szCs w:val="28"/>
            </w:rPr>
            <w:t>7</w:t>
          </w:r>
        </w:p>
        <w:p w14:paraId="4CE1DA85" w14:textId="0FD07D58" w:rsidR="00566F25" w:rsidRPr="00D30382" w:rsidRDefault="00566F25" w:rsidP="00566F25">
          <w:pPr>
            <w:pStyle w:val="10"/>
            <w:numPr>
              <w:ilvl w:val="1"/>
              <w:numId w:val="10"/>
            </w:numPr>
            <w:tabs>
              <w:tab w:val="right" w:leader="dot" w:pos="9344"/>
            </w:tabs>
            <w:spacing w:beforeAutospacing="0" w:after="100"/>
            <w:contextualSpacing/>
            <w:rPr>
              <w:b w:val="0"/>
              <w:bCs w:val="0"/>
              <w:szCs w:val="28"/>
            </w:rPr>
          </w:pPr>
          <w:r w:rsidRPr="00D30382">
            <w:rPr>
              <w:b w:val="0"/>
              <w:bCs w:val="0"/>
              <w:szCs w:val="28"/>
            </w:rPr>
            <w:t>Основные требования к образовательной системе Беларуси</w:t>
          </w:r>
          <w:r w:rsidRPr="00D30382">
            <w:rPr>
              <w:b w:val="0"/>
              <w:bCs w:val="0"/>
              <w:szCs w:val="28"/>
            </w:rPr>
            <w:tab/>
          </w:r>
          <w:r w:rsidR="001222F0" w:rsidRPr="00D30382">
            <w:rPr>
              <w:b w:val="0"/>
              <w:bCs w:val="0"/>
              <w:szCs w:val="28"/>
            </w:rPr>
            <w:t>8</w:t>
          </w:r>
        </w:p>
        <w:p w14:paraId="2244F948" w14:textId="244EC0B0" w:rsidR="00566F25" w:rsidRPr="00D30382" w:rsidRDefault="00566F25" w:rsidP="00566F25">
          <w:pPr>
            <w:pStyle w:val="10"/>
            <w:numPr>
              <w:ilvl w:val="1"/>
              <w:numId w:val="10"/>
            </w:numPr>
            <w:tabs>
              <w:tab w:val="right" w:leader="dot" w:pos="9344"/>
            </w:tabs>
            <w:spacing w:beforeAutospacing="0" w:after="100"/>
            <w:contextualSpacing/>
            <w:rPr>
              <w:b w:val="0"/>
              <w:bCs w:val="0"/>
              <w:szCs w:val="28"/>
            </w:rPr>
          </w:pPr>
          <w:r w:rsidRPr="00D30382">
            <w:rPr>
              <w:b w:val="0"/>
              <w:bCs w:val="0"/>
              <w:szCs w:val="28"/>
            </w:rPr>
            <w:t>Сроки и прогнозы завершения Болонского процесса</w:t>
          </w:r>
          <w:r w:rsidRPr="00D30382">
            <w:rPr>
              <w:b w:val="0"/>
              <w:bCs w:val="0"/>
              <w:szCs w:val="28"/>
            </w:rPr>
            <w:tab/>
          </w:r>
          <w:r w:rsidR="001222F0" w:rsidRPr="00D30382">
            <w:rPr>
              <w:b w:val="0"/>
              <w:bCs w:val="0"/>
              <w:szCs w:val="28"/>
            </w:rPr>
            <w:t>8</w:t>
          </w:r>
        </w:p>
        <w:p w14:paraId="4CA8F92A" w14:textId="08A7D98A" w:rsidR="003B6593" w:rsidRPr="00D30382" w:rsidRDefault="003B6593">
          <w:pPr>
            <w:pStyle w:val="12"/>
            <w:tabs>
              <w:tab w:val="right" w:leader="dot" w:pos="9345"/>
            </w:tabs>
            <w:rPr>
              <w:rStyle w:val="a6"/>
              <w:color w:val="auto"/>
              <w:u w:val="none"/>
            </w:rPr>
          </w:pPr>
          <w:r w:rsidRPr="00D30382">
            <w:rPr>
              <w:rFonts w:cs="Times New Roman"/>
              <w:noProof/>
              <w:szCs w:val="28"/>
            </w:rPr>
            <w:t>ЗАКЛЮЧЕНИЕ</w:t>
          </w:r>
          <w:r w:rsidRPr="00D30382">
            <w:rPr>
              <w:webHidden/>
            </w:rPr>
            <w:tab/>
          </w:r>
          <w:r w:rsidR="001222F0" w:rsidRPr="00D30382">
            <w:rPr>
              <w:webHidden/>
            </w:rPr>
            <w:t>9</w:t>
          </w:r>
        </w:p>
        <w:p w14:paraId="096BA1F8" w14:textId="63464755" w:rsidR="003B6593" w:rsidRPr="00D30382" w:rsidRDefault="003B6593" w:rsidP="003B6593">
          <w:pPr>
            <w:pStyle w:val="12"/>
            <w:tabs>
              <w:tab w:val="right" w:leader="dot" w:pos="9345"/>
            </w:tabs>
            <w:rPr>
              <w:rStyle w:val="a6"/>
              <w:color w:val="auto"/>
              <w:u w:val="none"/>
            </w:rPr>
          </w:pPr>
          <w:r w:rsidRPr="00D30382">
            <w:rPr>
              <w:rFonts w:cs="Times New Roman"/>
              <w:noProof/>
              <w:szCs w:val="28"/>
            </w:rPr>
            <w:t>СПИСОК ИСПОЛЬЗОВАННЫХ ИСТОЧНИКОВ</w:t>
          </w:r>
          <w:r w:rsidRPr="00D30382">
            <w:rPr>
              <w:webHidden/>
            </w:rPr>
            <w:tab/>
          </w:r>
          <w:r w:rsidR="001222F0" w:rsidRPr="00D30382">
            <w:rPr>
              <w:webHidden/>
            </w:rPr>
            <w:t>10</w:t>
          </w:r>
        </w:p>
        <w:p w14:paraId="0131552E" w14:textId="77777777" w:rsidR="003B6593" w:rsidRDefault="003B6593">
          <w:r w:rsidRPr="00D3038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6C60C4" w14:textId="77777777" w:rsidR="00DC12C5" w:rsidRDefault="00DC12C5">
      <w:pPr>
        <w:rPr>
          <w:rFonts w:eastAsia="Times New Roman" w:cs="Times New Roman"/>
          <w:szCs w:val="28"/>
          <w:lang w:eastAsia="ru-RU"/>
        </w:rPr>
      </w:pPr>
    </w:p>
    <w:p w14:paraId="04C4AFD9" w14:textId="77777777" w:rsidR="00DC12C5" w:rsidRDefault="00DC12C5">
      <w:pPr>
        <w:rPr>
          <w:rFonts w:eastAsia="Times New Roman" w:cs="Times New Roman"/>
          <w:szCs w:val="28"/>
          <w:lang w:eastAsia="ru-RU"/>
        </w:rPr>
      </w:pPr>
    </w:p>
    <w:p w14:paraId="5C9D6E05" w14:textId="52C904A9" w:rsidR="00596E5B" w:rsidRPr="00596E5B" w:rsidRDefault="00596E5B">
      <w:pPr>
        <w:rPr>
          <w:rFonts w:eastAsia="Times New Roman" w:cs="Times New Roman"/>
          <w:szCs w:val="28"/>
          <w:lang w:eastAsia="ru-RU"/>
        </w:rPr>
      </w:pPr>
      <w:r w:rsidRPr="00596E5B">
        <w:rPr>
          <w:rFonts w:eastAsia="Times New Roman" w:cs="Times New Roman"/>
          <w:szCs w:val="28"/>
          <w:lang w:eastAsia="ru-RU"/>
        </w:rPr>
        <w:br w:type="page"/>
      </w:r>
    </w:p>
    <w:p w14:paraId="1E92AB62" w14:textId="77777777" w:rsidR="00596E5B" w:rsidRPr="003B6593" w:rsidRDefault="003B6593" w:rsidP="00153D45">
      <w:pPr>
        <w:pStyle w:val="10"/>
        <w:spacing w:beforeAutospacing="0" w:after="100"/>
        <w:jc w:val="center"/>
      </w:pPr>
      <w:bookmarkStart w:id="28" w:name="_Toc115116190"/>
      <w:r w:rsidRPr="003B6593">
        <w:lastRenderedPageBreak/>
        <w:t>ВВЕДЕНИЕ</w:t>
      </w:r>
      <w:bookmarkEnd w:id="28"/>
    </w:p>
    <w:p w14:paraId="7BC58D50" w14:textId="77777777" w:rsidR="00596E5B" w:rsidRPr="00153D45" w:rsidRDefault="00596E5B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6FC9BF3C" w14:textId="77777777" w:rsidR="004943DD" w:rsidRPr="00153D45" w:rsidRDefault="004943DD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153D45">
        <w:rPr>
          <w:color w:val="000000"/>
          <w:sz w:val="28"/>
          <w:szCs w:val="28"/>
        </w:rPr>
        <w:t>Современное образование - фундаментальная основа человеческой жизнедеятельности, выступающая как интегральная, обобщающая ценность духовной культуры. Наряду с политической и правовой культурой образование формирует эстетические и нравственные черты личности в неразрывной связи с жизнью общества. Целью функционирования социального института образования в обществе является формирование интеллектуально-нравственного потенциала нации. Эффективность функционирования социального института образования необходимо изучать с позиций комплексного подхода, который предполагает учет многообразия разнокачественных субъектов образования и системы их взаимосвязей и управления.</w:t>
      </w:r>
    </w:p>
    <w:p w14:paraId="32A7BE60" w14:textId="3C5EA961" w:rsidR="00596E5B" w:rsidRPr="00153D45" w:rsidRDefault="004943DD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153D45">
        <w:rPr>
          <w:color w:val="000000"/>
          <w:sz w:val="28"/>
          <w:szCs w:val="28"/>
        </w:rPr>
        <w:t>Личность по отношению к институтам государства - всегда объект воздействия. Долгое время государство практиковало ресурсный подход к собственному населению, управление системой образования было подчинено идее воспитания работника, профессионала с минимальным учетом индивидуальности. В то время как на современном этапе образование приобретает характер целенаправленной непрерывной (в течение всей жизни) деятельности личности, ориентированной на использование образовательной системы, образовательной среды в целях самосовершенствования, удовлетворения индивидуальных образовательных потребностей. Формируются субъект-субъектные связи между участниками образовательной деятельности.</w:t>
      </w:r>
    </w:p>
    <w:p w14:paraId="1694AF94" w14:textId="06B7F131" w:rsidR="00DC12C5" w:rsidRPr="00153D45" w:rsidRDefault="00DC12C5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153D45">
        <w:rPr>
          <w:color w:val="000000"/>
          <w:sz w:val="28"/>
          <w:szCs w:val="28"/>
        </w:rPr>
        <w:t>В Беларуси почти 70% жителей страны имеют высшее или незаконченное высшее образование. Доля образованных людей на 100 тысяч населения весьма велика среди бывших стран СНГ, поэтому вопрос о присоединении ВУЗов страны к Болонской системе, и как следствие ее реформирование, - весьма актуален. Официально Белоруссия присоединилась к Европейскому пространству высшего образования в 2015 году, подписав соответствующий документ – Дорожная карта. В нем были освещены основные требования к реформированию системы высшего образования страны. После принятия и реального внедрения положений Дорожной карты наша страна должна стать полноценным членом Болонского процесса.</w:t>
      </w:r>
    </w:p>
    <w:p w14:paraId="683F457C" w14:textId="77777777" w:rsidR="00596E5B" w:rsidRPr="00153D45" w:rsidRDefault="00596E5B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153D45">
        <w:rPr>
          <w:color w:val="000000"/>
          <w:sz w:val="28"/>
          <w:szCs w:val="28"/>
        </w:rPr>
        <w:br w:type="page"/>
      </w:r>
    </w:p>
    <w:p w14:paraId="5E59935E" w14:textId="77777777" w:rsidR="00596E5B" w:rsidRPr="00596E5B" w:rsidRDefault="00596E5B" w:rsidP="00596E5B">
      <w:pPr>
        <w:spacing w:before="100" w:beforeAutospacing="1" w:line="240" w:lineRule="auto"/>
        <w:ind w:firstLine="851"/>
        <w:contextualSpacing/>
        <w:rPr>
          <w:rFonts w:eastAsia="Times New Roman" w:cs="Times New Roman"/>
          <w:color w:val="000000"/>
          <w:szCs w:val="28"/>
          <w:lang w:eastAsia="ru-RU"/>
        </w:rPr>
      </w:pPr>
    </w:p>
    <w:p w14:paraId="2D775783" w14:textId="65FD6544" w:rsidR="00596E5B" w:rsidRPr="00596E5B" w:rsidRDefault="00596E5B" w:rsidP="00596E5B">
      <w:pPr>
        <w:pStyle w:val="10"/>
        <w:spacing w:beforeAutospacing="0" w:afterAutospacing="0"/>
        <w:ind w:firstLine="708"/>
        <w:contextualSpacing/>
        <w:rPr>
          <w:szCs w:val="28"/>
        </w:rPr>
      </w:pPr>
      <w:r w:rsidRPr="00596E5B">
        <w:rPr>
          <w:szCs w:val="28"/>
        </w:rPr>
        <w:t xml:space="preserve"> </w:t>
      </w:r>
      <w:bookmarkStart w:id="29" w:name="_Toc115116191"/>
      <w:r w:rsidR="003B6593">
        <w:rPr>
          <w:szCs w:val="28"/>
        </w:rPr>
        <w:t xml:space="preserve">1 </w:t>
      </w:r>
      <w:bookmarkEnd w:id="29"/>
      <w:r w:rsidR="00636B43" w:rsidRPr="00636B43">
        <w:rPr>
          <w:szCs w:val="28"/>
        </w:rPr>
        <w:t>История болонского процесса</w:t>
      </w:r>
    </w:p>
    <w:p w14:paraId="566518AD" w14:textId="77777777" w:rsidR="00596E5B" w:rsidRPr="00596E5B" w:rsidRDefault="00596E5B" w:rsidP="00596E5B">
      <w:pPr>
        <w:pStyle w:val="10"/>
        <w:spacing w:beforeAutospacing="0" w:afterAutospacing="0"/>
        <w:contextualSpacing/>
        <w:rPr>
          <w:szCs w:val="28"/>
        </w:rPr>
      </w:pPr>
    </w:p>
    <w:p w14:paraId="57B1046C" w14:textId="1AB6A17E" w:rsidR="00636B43" w:rsidRPr="00153D45" w:rsidRDefault="00636B43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153D45">
        <w:rPr>
          <w:color w:val="000000"/>
          <w:sz w:val="28"/>
          <w:szCs w:val="28"/>
        </w:rPr>
        <w:t>Начало Болонского процесса можно отнести к середине 1970-х</w:t>
      </w:r>
      <w:r w:rsidR="00153D45" w:rsidRPr="00153D45">
        <w:rPr>
          <w:color w:val="000000"/>
          <w:sz w:val="28"/>
          <w:szCs w:val="28"/>
        </w:rPr>
        <w:t xml:space="preserve"> </w:t>
      </w:r>
      <w:r w:rsidRPr="00153D45">
        <w:rPr>
          <w:color w:val="000000"/>
          <w:sz w:val="28"/>
          <w:szCs w:val="28"/>
        </w:rPr>
        <w:t>годов, когда </w:t>
      </w:r>
      <w:hyperlink r:id="rId9" w:tooltip="Совет министров Европейского союза" w:history="1">
        <w:r w:rsidRPr="00153D45">
          <w:rPr>
            <w:color w:val="000000"/>
            <w:sz w:val="28"/>
            <w:szCs w:val="28"/>
          </w:rPr>
          <w:t>Советом министров Европейского союза</w:t>
        </w:r>
      </w:hyperlink>
      <w:r w:rsidRPr="00153D45">
        <w:rPr>
          <w:color w:val="000000"/>
          <w:sz w:val="28"/>
          <w:szCs w:val="28"/>
        </w:rPr>
        <w:t> была принята резолюция о первой программе сотрудничества в сфере образования.</w:t>
      </w:r>
    </w:p>
    <w:p w14:paraId="3D0392F4" w14:textId="163A2CBA" w:rsidR="00636B43" w:rsidRPr="00153D45" w:rsidRDefault="00636B43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153D45">
        <w:rPr>
          <w:color w:val="000000"/>
          <w:sz w:val="28"/>
          <w:szCs w:val="28"/>
        </w:rPr>
        <w:t>В </w:t>
      </w:r>
      <w:hyperlink r:id="rId10" w:tooltip="1998 год" w:history="1">
        <w:r w:rsidRPr="00153D45">
          <w:rPr>
            <w:color w:val="000000"/>
            <w:sz w:val="28"/>
            <w:szCs w:val="28"/>
          </w:rPr>
          <w:t>1998 году</w:t>
        </w:r>
      </w:hyperlink>
      <w:r w:rsidRPr="00153D45">
        <w:rPr>
          <w:color w:val="000000"/>
          <w:sz w:val="28"/>
          <w:szCs w:val="28"/>
        </w:rPr>
        <w:t> министры образования четырёх европейских стран, участвовавшие в праздновании 800-летия </w:t>
      </w:r>
      <w:hyperlink r:id="rId11" w:tooltip="Парижский университет" w:history="1">
        <w:r w:rsidRPr="00153D45">
          <w:rPr>
            <w:color w:val="000000"/>
            <w:sz w:val="28"/>
            <w:szCs w:val="28"/>
          </w:rPr>
          <w:t>Парижского университета</w:t>
        </w:r>
      </w:hyperlink>
      <w:r w:rsidRPr="00153D45">
        <w:rPr>
          <w:color w:val="000000"/>
          <w:sz w:val="28"/>
          <w:szCs w:val="28"/>
        </w:rPr>
        <w:t>, сошлись во мнении, что сегментация европейского высшего образования в </w:t>
      </w:r>
      <w:hyperlink r:id="rId12" w:tooltip="Европа" w:history="1">
        <w:r w:rsidRPr="00153D45">
          <w:rPr>
            <w:color w:val="000000"/>
            <w:sz w:val="28"/>
            <w:szCs w:val="28"/>
          </w:rPr>
          <w:t>Европе</w:t>
        </w:r>
      </w:hyperlink>
      <w:r w:rsidRPr="00153D45">
        <w:rPr>
          <w:color w:val="000000"/>
          <w:sz w:val="28"/>
          <w:szCs w:val="28"/>
        </w:rPr>
        <w:t xml:space="preserve"> мешает развитию науки и образования. Ими была подписана </w:t>
      </w:r>
      <w:proofErr w:type="spellStart"/>
      <w:r w:rsidRPr="00153D45">
        <w:rPr>
          <w:color w:val="000000"/>
          <w:sz w:val="28"/>
          <w:szCs w:val="28"/>
        </w:rPr>
        <w:t>Сорбоннская</w:t>
      </w:r>
      <w:proofErr w:type="spellEnd"/>
      <w:r w:rsidRPr="00153D45">
        <w:rPr>
          <w:color w:val="000000"/>
          <w:sz w:val="28"/>
          <w:szCs w:val="28"/>
        </w:rPr>
        <w:t xml:space="preserve"> декларация. Цель декларации заключается в создании общих положений по стандартизации Европейского пространства высшего образования, где мобильность следует поощрять как для студентов и выпускников, так и для повышения квалификации персонала. Кроме того, она должна была обеспечить соответствие квалификаций современным требованиям на рынке труда.</w:t>
      </w:r>
    </w:p>
    <w:p w14:paraId="53FF0459" w14:textId="4F6A3AD2" w:rsidR="00636B43" w:rsidRPr="00153D45" w:rsidRDefault="00636B43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153D45">
        <w:rPr>
          <w:color w:val="000000"/>
          <w:sz w:val="28"/>
          <w:szCs w:val="28"/>
        </w:rPr>
        <w:t xml:space="preserve">Цели </w:t>
      </w:r>
      <w:proofErr w:type="spellStart"/>
      <w:r w:rsidRPr="00153D45">
        <w:rPr>
          <w:color w:val="000000"/>
          <w:sz w:val="28"/>
          <w:szCs w:val="28"/>
        </w:rPr>
        <w:t>Сорбоннской</w:t>
      </w:r>
      <w:proofErr w:type="spellEnd"/>
      <w:r w:rsidRPr="00153D45">
        <w:rPr>
          <w:color w:val="000000"/>
          <w:sz w:val="28"/>
          <w:szCs w:val="28"/>
        </w:rPr>
        <w:t xml:space="preserve"> декларации были подтверждены 19 июня </w:t>
      </w:r>
      <w:hyperlink r:id="rId13" w:tooltip="1999 год" w:history="1">
        <w:r w:rsidRPr="00153D45">
          <w:rPr>
            <w:color w:val="000000"/>
            <w:sz w:val="28"/>
            <w:szCs w:val="28"/>
          </w:rPr>
          <w:t>1999</w:t>
        </w:r>
        <w:r w:rsidR="00153D45" w:rsidRPr="00153D45">
          <w:rPr>
            <w:color w:val="000000"/>
            <w:sz w:val="28"/>
            <w:szCs w:val="28"/>
          </w:rPr>
          <w:t xml:space="preserve"> </w:t>
        </w:r>
        <w:r w:rsidRPr="00153D45">
          <w:rPr>
            <w:color w:val="000000"/>
            <w:sz w:val="28"/>
            <w:szCs w:val="28"/>
          </w:rPr>
          <w:t>года</w:t>
        </w:r>
      </w:hyperlink>
      <w:r w:rsidRPr="00153D45">
        <w:rPr>
          <w:color w:val="000000"/>
          <w:sz w:val="28"/>
          <w:szCs w:val="28"/>
        </w:rPr>
        <w:t> при подписании Болонской декларации, в которой 29 стран выразили свою готовность взять на себя обязательство повысить конкурентоспособность европейского пространства высшего образования и обеспечить совместимость и сравнимость национальных систем высшего образования с установлением стандартов транснационального образования; при этом подчёркивалась необходимость сохранения независимости и самостоятельности всех высших учебных учреждений. Все положения Болонской декларации были установлены как меры добровольного процесса согласования, а не как жёсткие юридические обязательства. В Болонской декларации говорится: «Жизнеспособность и эффективность любой цивилизации обусловлены привлекательностью, которая её культура имеет для других стран. Мы должны быть уверены, что европейская система высшего образования приобретает всемирный уровень притяжения, соответствующий нашим экстраординарным культурным и научным традициям».</w:t>
      </w:r>
    </w:p>
    <w:p w14:paraId="49668FDD" w14:textId="5AD5B7F4" w:rsidR="00636B43" w:rsidRPr="00153D45" w:rsidRDefault="00636B43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153D45">
        <w:rPr>
          <w:color w:val="000000"/>
          <w:sz w:val="28"/>
          <w:szCs w:val="28"/>
        </w:rPr>
        <w:t>По состоянию на 2022 год, Болонский процесс объединяет 46 стран.</w:t>
      </w:r>
    </w:p>
    <w:p w14:paraId="13E5A0E3" w14:textId="77777777" w:rsidR="00596E5B" w:rsidRPr="00596E5B" w:rsidRDefault="00596E5B" w:rsidP="00153D45">
      <w:pPr>
        <w:spacing w:before="100" w:beforeAutospacing="1" w:line="240" w:lineRule="auto"/>
        <w:ind w:firstLine="851"/>
        <w:contextualSpacing/>
        <w:rPr>
          <w:rFonts w:eastAsia="Times New Roman" w:cs="Times New Roman"/>
          <w:color w:val="000000"/>
          <w:szCs w:val="28"/>
          <w:lang w:eastAsia="ru-RU"/>
        </w:rPr>
      </w:pPr>
    </w:p>
    <w:p w14:paraId="6B59DBFC" w14:textId="7956BC12" w:rsidR="00596E5B" w:rsidRDefault="00596E5B" w:rsidP="00596E5B">
      <w:pPr>
        <w:spacing w:before="100" w:beforeAutospacing="1" w:line="240" w:lineRule="auto"/>
        <w:ind w:firstLine="851"/>
        <w:contextualSpacing/>
        <w:rPr>
          <w:rFonts w:eastAsia="Times New Roman" w:cs="Times New Roman"/>
          <w:color w:val="000000"/>
          <w:szCs w:val="28"/>
          <w:lang w:eastAsia="ru-RU"/>
        </w:rPr>
      </w:pPr>
    </w:p>
    <w:p w14:paraId="0F79F468" w14:textId="54A1E29E" w:rsidR="00636B43" w:rsidRDefault="00636B43" w:rsidP="00596E5B">
      <w:pPr>
        <w:spacing w:before="100" w:beforeAutospacing="1" w:line="240" w:lineRule="auto"/>
        <w:ind w:firstLine="851"/>
        <w:contextualSpacing/>
        <w:rPr>
          <w:rFonts w:eastAsia="Times New Roman" w:cs="Times New Roman"/>
          <w:color w:val="000000"/>
          <w:szCs w:val="28"/>
          <w:lang w:eastAsia="ru-RU"/>
        </w:rPr>
      </w:pPr>
    </w:p>
    <w:p w14:paraId="617FA103" w14:textId="2B051956" w:rsidR="00636B43" w:rsidRDefault="00636B43" w:rsidP="00596E5B">
      <w:pPr>
        <w:spacing w:before="100" w:beforeAutospacing="1" w:line="240" w:lineRule="auto"/>
        <w:ind w:firstLine="851"/>
        <w:contextualSpacing/>
        <w:rPr>
          <w:rFonts w:eastAsia="Times New Roman" w:cs="Times New Roman"/>
          <w:color w:val="000000"/>
          <w:szCs w:val="28"/>
          <w:lang w:eastAsia="ru-RU"/>
        </w:rPr>
      </w:pPr>
    </w:p>
    <w:p w14:paraId="7DA9B621" w14:textId="4BBFC253" w:rsidR="00636B43" w:rsidRDefault="00636B43" w:rsidP="00596E5B">
      <w:pPr>
        <w:spacing w:before="100" w:beforeAutospacing="1" w:line="240" w:lineRule="auto"/>
        <w:ind w:firstLine="851"/>
        <w:contextualSpacing/>
        <w:rPr>
          <w:rFonts w:eastAsia="Times New Roman" w:cs="Times New Roman"/>
          <w:color w:val="000000"/>
          <w:szCs w:val="28"/>
          <w:lang w:eastAsia="ru-RU"/>
        </w:rPr>
      </w:pPr>
    </w:p>
    <w:p w14:paraId="168EC1F9" w14:textId="69630A3C" w:rsidR="00636B43" w:rsidRDefault="00636B43" w:rsidP="00596E5B">
      <w:pPr>
        <w:spacing w:before="100" w:beforeAutospacing="1" w:line="240" w:lineRule="auto"/>
        <w:ind w:firstLine="851"/>
        <w:contextualSpacing/>
        <w:rPr>
          <w:rFonts w:eastAsia="Times New Roman" w:cs="Times New Roman"/>
          <w:color w:val="000000"/>
          <w:szCs w:val="28"/>
          <w:lang w:eastAsia="ru-RU"/>
        </w:rPr>
      </w:pPr>
    </w:p>
    <w:p w14:paraId="178C8BD9" w14:textId="50D29A22" w:rsidR="00636B43" w:rsidRDefault="00636B43" w:rsidP="00596E5B">
      <w:pPr>
        <w:spacing w:before="100" w:beforeAutospacing="1" w:line="240" w:lineRule="auto"/>
        <w:ind w:firstLine="851"/>
        <w:contextualSpacing/>
        <w:rPr>
          <w:rFonts w:eastAsia="Times New Roman" w:cs="Times New Roman"/>
          <w:color w:val="000000"/>
          <w:szCs w:val="28"/>
          <w:lang w:eastAsia="ru-RU"/>
        </w:rPr>
      </w:pPr>
    </w:p>
    <w:p w14:paraId="3A6FFDE4" w14:textId="3CF163D6" w:rsidR="00636B43" w:rsidRDefault="00636B43" w:rsidP="00596E5B">
      <w:pPr>
        <w:spacing w:before="100" w:beforeAutospacing="1" w:line="240" w:lineRule="auto"/>
        <w:ind w:firstLine="851"/>
        <w:contextualSpacing/>
        <w:rPr>
          <w:rFonts w:eastAsia="Times New Roman" w:cs="Times New Roman"/>
          <w:color w:val="000000"/>
          <w:szCs w:val="28"/>
          <w:lang w:eastAsia="ru-RU"/>
        </w:rPr>
      </w:pPr>
    </w:p>
    <w:p w14:paraId="138FDB04" w14:textId="10D1ECDE" w:rsidR="00153D45" w:rsidRDefault="00153D45" w:rsidP="00596E5B">
      <w:pPr>
        <w:spacing w:before="100" w:beforeAutospacing="1" w:line="240" w:lineRule="auto"/>
        <w:ind w:firstLine="851"/>
        <w:contextualSpacing/>
        <w:rPr>
          <w:rFonts w:eastAsia="Times New Roman" w:cs="Times New Roman"/>
          <w:color w:val="000000"/>
          <w:szCs w:val="28"/>
          <w:lang w:eastAsia="ru-RU"/>
        </w:rPr>
      </w:pPr>
    </w:p>
    <w:p w14:paraId="6078ADE7" w14:textId="10B46C09" w:rsidR="00153D45" w:rsidRDefault="00153D45" w:rsidP="00596E5B">
      <w:pPr>
        <w:spacing w:before="100" w:beforeAutospacing="1" w:line="240" w:lineRule="auto"/>
        <w:ind w:firstLine="851"/>
        <w:contextualSpacing/>
        <w:rPr>
          <w:rFonts w:eastAsia="Times New Roman" w:cs="Times New Roman"/>
          <w:color w:val="000000"/>
          <w:szCs w:val="28"/>
          <w:lang w:eastAsia="ru-RU"/>
        </w:rPr>
      </w:pPr>
    </w:p>
    <w:p w14:paraId="74A14512" w14:textId="69E3BF65" w:rsidR="00153D45" w:rsidRDefault="00153D45" w:rsidP="00596E5B">
      <w:pPr>
        <w:spacing w:before="100" w:beforeAutospacing="1" w:line="240" w:lineRule="auto"/>
        <w:ind w:firstLine="851"/>
        <w:contextualSpacing/>
        <w:rPr>
          <w:rFonts w:eastAsia="Times New Roman" w:cs="Times New Roman"/>
          <w:color w:val="000000"/>
          <w:szCs w:val="28"/>
          <w:lang w:eastAsia="ru-RU"/>
        </w:rPr>
      </w:pPr>
    </w:p>
    <w:p w14:paraId="61326945" w14:textId="77777777" w:rsidR="00153D45" w:rsidRDefault="00153D45" w:rsidP="00596E5B">
      <w:pPr>
        <w:spacing w:before="100" w:beforeAutospacing="1" w:line="240" w:lineRule="auto"/>
        <w:ind w:firstLine="851"/>
        <w:contextualSpacing/>
        <w:rPr>
          <w:rFonts w:eastAsia="Times New Roman" w:cs="Times New Roman"/>
          <w:color w:val="000000"/>
          <w:szCs w:val="28"/>
          <w:lang w:eastAsia="ru-RU"/>
        </w:rPr>
      </w:pPr>
    </w:p>
    <w:p w14:paraId="490DC4D8" w14:textId="77777777" w:rsidR="00636B43" w:rsidRPr="00596E5B" w:rsidRDefault="00636B43" w:rsidP="00596E5B">
      <w:pPr>
        <w:spacing w:before="100" w:beforeAutospacing="1" w:line="240" w:lineRule="auto"/>
        <w:ind w:firstLine="851"/>
        <w:contextualSpacing/>
        <w:rPr>
          <w:rFonts w:eastAsia="Times New Roman" w:cs="Times New Roman"/>
          <w:color w:val="000000"/>
          <w:szCs w:val="28"/>
          <w:lang w:eastAsia="ru-RU"/>
        </w:rPr>
      </w:pPr>
    </w:p>
    <w:p w14:paraId="7159433D" w14:textId="685F2CB3" w:rsidR="00596E5B" w:rsidRDefault="003B6593" w:rsidP="00596E5B">
      <w:pPr>
        <w:pStyle w:val="10"/>
        <w:spacing w:beforeAutospacing="0" w:after="100"/>
        <w:ind w:firstLine="708"/>
        <w:contextualSpacing/>
        <w:rPr>
          <w:szCs w:val="28"/>
        </w:rPr>
      </w:pPr>
      <w:bookmarkStart w:id="30" w:name="_Toc115116192"/>
      <w:r>
        <w:rPr>
          <w:szCs w:val="28"/>
        </w:rPr>
        <w:lastRenderedPageBreak/>
        <w:t xml:space="preserve">2 </w:t>
      </w:r>
      <w:bookmarkEnd w:id="30"/>
      <w:r w:rsidR="00611DF8">
        <w:rPr>
          <w:szCs w:val="28"/>
        </w:rPr>
        <w:t>Болонская система образования</w:t>
      </w:r>
    </w:p>
    <w:p w14:paraId="4C278E1B" w14:textId="77777777" w:rsidR="00611DF8" w:rsidRPr="00596E5B" w:rsidRDefault="00611DF8" w:rsidP="00596E5B">
      <w:pPr>
        <w:pStyle w:val="10"/>
        <w:spacing w:beforeAutospacing="0" w:after="100"/>
        <w:ind w:firstLine="708"/>
        <w:contextualSpacing/>
        <w:rPr>
          <w:szCs w:val="28"/>
        </w:rPr>
      </w:pPr>
    </w:p>
    <w:p w14:paraId="158929E0" w14:textId="03C71E20" w:rsidR="00611DF8" w:rsidRPr="00596E5B" w:rsidRDefault="00611DF8" w:rsidP="00611DF8">
      <w:pPr>
        <w:pStyle w:val="10"/>
        <w:spacing w:beforeAutospacing="0" w:after="100"/>
        <w:ind w:firstLine="708"/>
        <w:contextualSpacing/>
        <w:rPr>
          <w:szCs w:val="28"/>
        </w:rPr>
      </w:pPr>
      <w:r>
        <w:rPr>
          <w:szCs w:val="28"/>
        </w:rPr>
        <w:t>2.1 Что такое Болонская система образования</w:t>
      </w:r>
    </w:p>
    <w:p w14:paraId="08755C32" w14:textId="77777777" w:rsidR="00596E5B" w:rsidRPr="00596E5B" w:rsidRDefault="00596E5B" w:rsidP="00596E5B">
      <w:pPr>
        <w:pStyle w:val="10"/>
        <w:spacing w:beforeAutospacing="0" w:after="100"/>
        <w:contextualSpacing/>
        <w:rPr>
          <w:szCs w:val="28"/>
        </w:rPr>
      </w:pPr>
    </w:p>
    <w:p w14:paraId="279C6160" w14:textId="77777777" w:rsidR="00611DF8" w:rsidRPr="00611DF8" w:rsidRDefault="00611DF8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611DF8">
        <w:rPr>
          <w:color w:val="000000"/>
          <w:sz w:val="28"/>
          <w:szCs w:val="28"/>
        </w:rPr>
        <w:t>Чтобы сделать образование мобильным, а выпускников — востребованными на рынке труда, в декларации прописали ряд принципов: перейти к двухуровневой системе обучения, дать возможность студентам и преподавателям хотя бы семестр учиться за пределами страны и ввести единую шкалу оценки — учебные кредиты, которые показывают, сколько времени было уделено той или иной дисциплине.</w:t>
      </w:r>
    </w:p>
    <w:p w14:paraId="35507418" w14:textId="77777777" w:rsidR="00611DF8" w:rsidRPr="00611DF8" w:rsidRDefault="00611DF8" w:rsidP="00153D45">
      <w:pPr>
        <w:pStyle w:val="paragraph"/>
        <w:shd w:val="clear" w:color="auto" w:fill="FFFFFF"/>
        <w:spacing w:before="0" w:beforeAutospacing="0" w:after="300" w:afterAutospacing="0"/>
        <w:jc w:val="both"/>
        <w:textAlignment w:val="baseline"/>
        <w:rPr>
          <w:color w:val="000000"/>
          <w:sz w:val="28"/>
          <w:szCs w:val="28"/>
        </w:rPr>
      </w:pPr>
      <w:r w:rsidRPr="00611DF8">
        <w:rPr>
          <w:color w:val="000000"/>
          <w:sz w:val="28"/>
          <w:szCs w:val="28"/>
        </w:rPr>
        <w:t>19 июня 1999 года в итальянском городе Болонье министры образования 29 стран обсудили перспективы Сорбонской декларации. Итогом встречи стала Болонская декларация о создании «Зоны европейского высшего образования».</w:t>
      </w:r>
    </w:p>
    <w:p w14:paraId="2E5014F8" w14:textId="77777777" w:rsidR="00611DF8" w:rsidRPr="00611DF8" w:rsidRDefault="00611DF8" w:rsidP="00153D45">
      <w:pPr>
        <w:pStyle w:val="paragraph"/>
        <w:shd w:val="clear" w:color="auto" w:fill="FFFFFF"/>
        <w:spacing w:before="0" w:beforeAutospacing="0" w:after="0" w:afterAutospacing="0"/>
        <w:ind w:firstLine="360"/>
        <w:jc w:val="both"/>
        <w:textAlignment w:val="baseline"/>
        <w:rPr>
          <w:color w:val="000000"/>
          <w:sz w:val="28"/>
          <w:szCs w:val="28"/>
        </w:rPr>
      </w:pPr>
      <w:r w:rsidRPr="00611DF8">
        <w:rPr>
          <w:color w:val="000000"/>
          <w:sz w:val="28"/>
          <w:szCs w:val="28"/>
        </w:rPr>
        <w:t>Собрания участников Болонской декларации проходят каждые два года. Последнее прошло в 2020 году в Риме, где утвердили </w:t>
      </w:r>
      <w:hyperlink r:id="rId14" w:tgtFrame="_blank" w:history="1">
        <w:r w:rsidRPr="00611DF8">
          <w:rPr>
            <w:color w:val="000000"/>
            <w:sz w:val="28"/>
            <w:szCs w:val="28"/>
          </w:rPr>
          <w:t>принципы развития Болонской системы к 2030 году.</w:t>
        </w:r>
      </w:hyperlink>
      <w:r w:rsidRPr="00611DF8">
        <w:rPr>
          <w:color w:val="000000"/>
          <w:sz w:val="28"/>
          <w:szCs w:val="28"/>
        </w:rPr>
        <w:t> Образование должно стать:</w:t>
      </w:r>
    </w:p>
    <w:p w14:paraId="5141356D" w14:textId="77777777" w:rsidR="00611DF8" w:rsidRPr="00611DF8" w:rsidRDefault="00611DF8" w:rsidP="00153D45">
      <w:pPr>
        <w:numPr>
          <w:ilvl w:val="0"/>
          <w:numId w:val="6"/>
        </w:numPr>
        <w:shd w:val="clear" w:color="auto" w:fill="FFFFFF"/>
        <w:spacing w:after="150" w:line="240" w:lineRule="auto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11DF8">
        <w:rPr>
          <w:rFonts w:eastAsia="Times New Roman" w:cs="Times New Roman"/>
          <w:color w:val="000000"/>
          <w:szCs w:val="28"/>
          <w:lang w:eastAsia="ru-RU"/>
        </w:rPr>
        <w:t>Инклюзивным — каждый человек имеет равные права на обучение.</w:t>
      </w:r>
    </w:p>
    <w:p w14:paraId="4DAB6D70" w14:textId="77777777" w:rsidR="00611DF8" w:rsidRPr="00611DF8" w:rsidRDefault="00611DF8" w:rsidP="00153D45">
      <w:pPr>
        <w:numPr>
          <w:ilvl w:val="0"/>
          <w:numId w:val="6"/>
        </w:numPr>
        <w:shd w:val="clear" w:color="auto" w:fill="FFFFFF"/>
        <w:spacing w:after="150" w:line="240" w:lineRule="auto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11DF8">
        <w:rPr>
          <w:rFonts w:eastAsia="Times New Roman" w:cs="Times New Roman"/>
          <w:color w:val="000000"/>
          <w:szCs w:val="28"/>
          <w:lang w:eastAsia="ru-RU"/>
        </w:rPr>
        <w:t>Инновационным — будут появляться новые методы обучения, преподавания и оценки студентов.</w:t>
      </w:r>
    </w:p>
    <w:p w14:paraId="44924F88" w14:textId="08DB6F38" w:rsidR="00611DF8" w:rsidRDefault="00611DF8" w:rsidP="00153D45">
      <w:pPr>
        <w:numPr>
          <w:ilvl w:val="0"/>
          <w:numId w:val="6"/>
        </w:numPr>
        <w:shd w:val="clear" w:color="auto" w:fill="FFFFFF"/>
        <w:spacing w:after="150" w:line="240" w:lineRule="auto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11DF8">
        <w:rPr>
          <w:rFonts w:eastAsia="Times New Roman" w:cs="Times New Roman"/>
          <w:color w:val="000000"/>
          <w:szCs w:val="28"/>
          <w:lang w:eastAsia="ru-RU"/>
        </w:rPr>
        <w:t>Взаимосвязанным — чтобы сохранить мобильность студентов и обмен знаниями.</w:t>
      </w:r>
    </w:p>
    <w:p w14:paraId="1F74231D" w14:textId="77777777" w:rsidR="00611DF8" w:rsidRDefault="00611DF8" w:rsidP="00611DF8">
      <w:pPr>
        <w:shd w:val="clear" w:color="auto" w:fill="FFFFFF"/>
        <w:spacing w:after="150" w:line="240" w:lineRule="auto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11CB1F91" w14:textId="4911F474" w:rsidR="00611DF8" w:rsidRPr="00611DF8" w:rsidRDefault="00611DF8" w:rsidP="00611DF8">
      <w:pPr>
        <w:pStyle w:val="10"/>
        <w:spacing w:beforeAutospacing="0" w:after="100"/>
        <w:ind w:firstLine="708"/>
        <w:contextualSpacing/>
        <w:rPr>
          <w:szCs w:val="28"/>
        </w:rPr>
      </w:pPr>
      <w:r w:rsidRPr="00611DF8">
        <w:rPr>
          <w:szCs w:val="28"/>
        </w:rPr>
        <w:t>2.2</w:t>
      </w:r>
      <w:r>
        <w:rPr>
          <w:szCs w:val="28"/>
        </w:rPr>
        <w:t xml:space="preserve"> </w:t>
      </w:r>
      <w:r w:rsidRPr="00611DF8">
        <w:rPr>
          <w:szCs w:val="28"/>
        </w:rPr>
        <w:t>Суть Болонской системы образования</w:t>
      </w:r>
    </w:p>
    <w:p w14:paraId="1B55EC5C" w14:textId="77777777" w:rsidR="00611DF8" w:rsidRPr="00611DF8" w:rsidRDefault="00611DF8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611DF8">
        <w:rPr>
          <w:color w:val="000000"/>
          <w:sz w:val="28"/>
          <w:szCs w:val="28"/>
        </w:rPr>
        <w:t>Суть системы в том, чтобы создать единые образовательные стандарты. Это поможет студентам, выпускникам и сотрудникам передвигаться между странами и университетами. Так они смогут передавать знания, получать новый опыт, преподавать и проводить исследования. В дальнейшем студент сможет трудоустроиться в европейские компании и быть конкурентоспособным специалистом.</w:t>
      </w:r>
    </w:p>
    <w:p w14:paraId="4A5943B0" w14:textId="6FB2D103" w:rsidR="00611DF8" w:rsidRDefault="00611DF8" w:rsidP="00153D4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11DF8">
        <w:rPr>
          <w:color w:val="000000"/>
          <w:sz w:val="28"/>
          <w:szCs w:val="28"/>
        </w:rPr>
        <w:t>Европейское образование заточено на рынок труда. Для университетов важно, чтобы студенты оканчивали вуз и шли работать уже с практическими навыками. Учащимся предлагают выбирать дисциплины, которые пригодятся при работе, принимать участие в исследованиях, продолжать учебу в разных университетах и, если ситуация на рынке труда того требует, менять специализацию — для этого подходит магистратура.</w:t>
      </w:r>
    </w:p>
    <w:p w14:paraId="3A095B1F" w14:textId="13F997FF" w:rsidR="00A41D51" w:rsidRDefault="00A41D51" w:rsidP="00153D4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7A928097" w14:textId="77777777" w:rsidR="00A41D51" w:rsidRDefault="00A41D51" w:rsidP="00A41D51">
      <w:pPr>
        <w:pStyle w:val="10"/>
        <w:spacing w:beforeAutospacing="0" w:after="100"/>
        <w:ind w:firstLine="708"/>
        <w:contextualSpacing/>
        <w:rPr>
          <w:szCs w:val="28"/>
        </w:rPr>
      </w:pPr>
    </w:p>
    <w:p w14:paraId="284A38BB" w14:textId="77777777" w:rsidR="00A41D51" w:rsidRDefault="00A41D51" w:rsidP="00A41D51">
      <w:pPr>
        <w:pStyle w:val="10"/>
        <w:spacing w:beforeAutospacing="0" w:after="100"/>
        <w:ind w:firstLine="708"/>
        <w:contextualSpacing/>
        <w:rPr>
          <w:szCs w:val="28"/>
        </w:rPr>
      </w:pPr>
    </w:p>
    <w:p w14:paraId="3BED0472" w14:textId="77777777" w:rsidR="00A41D51" w:rsidRDefault="00A41D51" w:rsidP="00A41D51">
      <w:pPr>
        <w:pStyle w:val="10"/>
        <w:spacing w:beforeAutospacing="0" w:after="100"/>
        <w:ind w:firstLine="708"/>
        <w:contextualSpacing/>
        <w:rPr>
          <w:szCs w:val="28"/>
        </w:rPr>
      </w:pPr>
    </w:p>
    <w:p w14:paraId="680FCDBA" w14:textId="77777777" w:rsidR="00A41D51" w:rsidRDefault="00A41D51" w:rsidP="00A41D51">
      <w:pPr>
        <w:pStyle w:val="10"/>
        <w:spacing w:beforeAutospacing="0" w:after="100"/>
        <w:ind w:firstLine="708"/>
        <w:contextualSpacing/>
        <w:rPr>
          <w:szCs w:val="28"/>
        </w:rPr>
      </w:pPr>
    </w:p>
    <w:p w14:paraId="0F3E8A23" w14:textId="41544F42" w:rsidR="00A41D51" w:rsidRDefault="00A41D51" w:rsidP="00A41D51">
      <w:pPr>
        <w:pStyle w:val="10"/>
        <w:spacing w:beforeAutospacing="0" w:after="100"/>
        <w:ind w:firstLine="708"/>
        <w:contextualSpacing/>
        <w:rPr>
          <w:szCs w:val="28"/>
        </w:rPr>
      </w:pPr>
      <w:r w:rsidRPr="00A41D51">
        <w:rPr>
          <w:szCs w:val="28"/>
        </w:rPr>
        <w:lastRenderedPageBreak/>
        <w:t>2.3</w:t>
      </w:r>
      <w:r>
        <w:rPr>
          <w:szCs w:val="28"/>
        </w:rPr>
        <w:t xml:space="preserve"> </w:t>
      </w:r>
      <w:r w:rsidRPr="00A41D51">
        <w:rPr>
          <w:szCs w:val="28"/>
        </w:rPr>
        <w:t>Основные принципы Болонской системы</w:t>
      </w:r>
    </w:p>
    <w:p w14:paraId="306ECF72" w14:textId="7A883F88" w:rsidR="00A41D51" w:rsidRDefault="00A41D51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A41D51">
        <w:rPr>
          <w:b/>
          <w:bCs/>
          <w:sz w:val="28"/>
          <w:szCs w:val="28"/>
        </w:rPr>
        <w:t>Две степени образования:</w:t>
      </w:r>
      <w:r w:rsidRPr="00A41D51">
        <w:rPr>
          <w:color w:val="000000"/>
          <w:sz w:val="28"/>
          <w:szCs w:val="28"/>
        </w:rPr>
        <w:t> первая степень — бакалавриат, вторая — магистратура. Приступить ко второму циклу обучения можно только после окончания бакалавриата сроком не менее трех лет.</w:t>
      </w:r>
    </w:p>
    <w:p w14:paraId="57FA3339" w14:textId="77777777" w:rsidR="00A41D51" w:rsidRPr="00A41D51" w:rsidRDefault="00A41D51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26190482" w14:textId="77777777" w:rsidR="00A41D51" w:rsidRPr="00A41D51" w:rsidRDefault="00A41D51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A41D51">
        <w:rPr>
          <w:b/>
          <w:bCs/>
          <w:sz w:val="28"/>
          <w:szCs w:val="28"/>
        </w:rPr>
        <w:t>Кредиты</w:t>
      </w:r>
      <w:r w:rsidRPr="00D30382">
        <w:rPr>
          <w:b/>
          <w:bCs/>
          <w:sz w:val="28"/>
          <w:szCs w:val="28"/>
          <w:lang w:val="en-US"/>
        </w:rPr>
        <w:t xml:space="preserve"> </w:t>
      </w:r>
      <w:r w:rsidRPr="00A41D51">
        <w:rPr>
          <w:b/>
          <w:bCs/>
          <w:sz w:val="28"/>
          <w:szCs w:val="28"/>
        </w:rPr>
        <w:t>по</w:t>
      </w:r>
      <w:r w:rsidRPr="00D30382">
        <w:rPr>
          <w:b/>
          <w:bCs/>
          <w:sz w:val="28"/>
          <w:szCs w:val="28"/>
          <w:lang w:val="en-US"/>
        </w:rPr>
        <w:t> </w:t>
      </w:r>
      <w:r w:rsidRPr="00A41D51">
        <w:rPr>
          <w:b/>
          <w:bCs/>
          <w:sz w:val="28"/>
          <w:szCs w:val="28"/>
        </w:rPr>
        <w:t>типу</w:t>
      </w:r>
      <w:r w:rsidRPr="00D30382">
        <w:rPr>
          <w:b/>
          <w:bCs/>
          <w:sz w:val="28"/>
          <w:szCs w:val="28"/>
          <w:lang w:val="en-US"/>
        </w:rPr>
        <w:t xml:space="preserve"> ECTS (European Credit Transfer System).</w:t>
      </w:r>
      <w:r w:rsidRPr="00D30382">
        <w:rPr>
          <w:color w:val="000000"/>
          <w:sz w:val="28"/>
          <w:szCs w:val="28"/>
          <w:lang w:val="en-US"/>
        </w:rPr>
        <w:t> </w:t>
      </w:r>
      <w:r w:rsidRPr="00A41D51">
        <w:rPr>
          <w:color w:val="000000"/>
          <w:sz w:val="28"/>
          <w:szCs w:val="28"/>
        </w:rPr>
        <w:t>Европейская кредитная учебная система — это система, по которой оценивают прогресс студента в освоении дисциплины. Кредиты показывает количество учебных часов. 1 кредит равен </w:t>
      </w:r>
      <w:hyperlink r:id="rId15" w:tgtFrame="_blank" w:history="1">
        <w:r w:rsidRPr="00A41D51">
          <w:rPr>
            <w:color w:val="000000"/>
            <w:sz w:val="28"/>
            <w:szCs w:val="28"/>
          </w:rPr>
          <w:t>36 академическим часам.</w:t>
        </w:r>
      </w:hyperlink>
    </w:p>
    <w:p w14:paraId="28CEBCA1" w14:textId="744E32EB" w:rsidR="00A41D51" w:rsidRDefault="00A41D51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A41D51">
        <w:rPr>
          <w:color w:val="000000"/>
          <w:sz w:val="28"/>
          <w:szCs w:val="28"/>
        </w:rPr>
        <w:t>Учитываются не только те кредитные единицы, что студент заработал на бакалавриате или магистратуре, но и любое обучение, которое он проходил в течение всей жизни. Чтобы перевестись на следующий курс или поступить в магистратуру, студенту нужно набрать определенное количество кредитов. Для диплома бакалавра студенту нужно набрать от 180 кредитов, магистра — 300.</w:t>
      </w:r>
    </w:p>
    <w:p w14:paraId="77044998" w14:textId="77777777" w:rsidR="00A41D51" w:rsidRPr="00A41D51" w:rsidRDefault="00A41D51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1E273851" w14:textId="77777777" w:rsidR="00A41D51" w:rsidRPr="00A41D51" w:rsidRDefault="00A41D51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A41D51">
        <w:rPr>
          <w:b/>
          <w:bCs/>
          <w:sz w:val="28"/>
          <w:szCs w:val="28"/>
        </w:rPr>
        <w:t>Приложение к диплому.</w:t>
      </w:r>
      <w:r w:rsidRPr="00A41D51">
        <w:rPr>
          <w:color w:val="000000"/>
          <w:sz w:val="28"/>
          <w:szCs w:val="28"/>
        </w:rPr>
        <w:t> В него выписывают список дисциплин, которые студент изучал на программе, количество часов по каждому предмету и количество зачетных единиц.</w:t>
      </w:r>
    </w:p>
    <w:p w14:paraId="074805A9" w14:textId="77777777" w:rsidR="00A41D51" w:rsidRDefault="00A41D51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1A60A553" w14:textId="05A05E78" w:rsidR="00A41D51" w:rsidRDefault="00A41D51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A41D51">
        <w:rPr>
          <w:b/>
          <w:bCs/>
          <w:sz w:val="28"/>
          <w:szCs w:val="28"/>
        </w:rPr>
        <w:t>Мобильность студентов и преподавателей</w:t>
      </w:r>
      <w:r w:rsidRPr="00A41D51">
        <w:rPr>
          <w:color w:val="000000"/>
          <w:sz w:val="28"/>
          <w:szCs w:val="28"/>
        </w:rPr>
        <w:t> по европейским университетам. Можно начать работу или учебу в одном вузе, а в процессе перевестись в другой.</w:t>
      </w:r>
    </w:p>
    <w:p w14:paraId="7454CD20" w14:textId="77777777" w:rsidR="00A41D51" w:rsidRPr="00A41D51" w:rsidRDefault="00A41D51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30054418" w14:textId="003B54F9" w:rsidR="00207B26" w:rsidRPr="00566F25" w:rsidRDefault="00A41D51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A41D51">
        <w:rPr>
          <w:b/>
          <w:bCs/>
          <w:sz w:val="28"/>
          <w:szCs w:val="28"/>
        </w:rPr>
        <w:t>Развитие сотрудничества в области качества образования,</w:t>
      </w:r>
      <w:r w:rsidRPr="00A41D51">
        <w:rPr>
          <w:color w:val="000000"/>
          <w:sz w:val="28"/>
          <w:szCs w:val="28"/>
        </w:rPr>
        <w:t> а также обеспечение трудоустройства выпускников.</w:t>
      </w:r>
    </w:p>
    <w:p w14:paraId="4FB558A6" w14:textId="77777777" w:rsidR="00566F25" w:rsidRDefault="00566F25" w:rsidP="00153D45">
      <w:pPr>
        <w:pStyle w:val="10"/>
        <w:spacing w:beforeAutospacing="0" w:after="100"/>
        <w:ind w:left="1068"/>
        <w:contextualSpacing/>
        <w:rPr>
          <w:szCs w:val="28"/>
        </w:rPr>
      </w:pPr>
    </w:p>
    <w:p w14:paraId="34719C70" w14:textId="72F3714F" w:rsidR="00566F25" w:rsidRDefault="00566F25" w:rsidP="00566F25">
      <w:pPr>
        <w:pStyle w:val="10"/>
        <w:spacing w:beforeAutospacing="0" w:after="100"/>
        <w:ind w:left="1068"/>
        <w:contextualSpacing/>
        <w:rPr>
          <w:szCs w:val="28"/>
        </w:rPr>
      </w:pPr>
    </w:p>
    <w:p w14:paraId="004EDA8A" w14:textId="6C2296E7" w:rsidR="001222F0" w:rsidRDefault="001222F0" w:rsidP="00566F25">
      <w:pPr>
        <w:pStyle w:val="10"/>
        <w:spacing w:beforeAutospacing="0" w:after="100"/>
        <w:ind w:left="1068"/>
        <w:contextualSpacing/>
        <w:rPr>
          <w:szCs w:val="28"/>
        </w:rPr>
      </w:pPr>
    </w:p>
    <w:p w14:paraId="060413A9" w14:textId="6572DFEF" w:rsidR="001222F0" w:rsidRDefault="001222F0" w:rsidP="00566F25">
      <w:pPr>
        <w:pStyle w:val="10"/>
        <w:spacing w:beforeAutospacing="0" w:after="100"/>
        <w:ind w:left="1068"/>
        <w:contextualSpacing/>
        <w:rPr>
          <w:szCs w:val="28"/>
        </w:rPr>
      </w:pPr>
    </w:p>
    <w:p w14:paraId="0305ADBE" w14:textId="0BE7044E" w:rsidR="001222F0" w:rsidRDefault="001222F0" w:rsidP="00566F25">
      <w:pPr>
        <w:pStyle w:val="10"/>
        <w:spacing w:beforeAutospacing="0" w:after="100"/>
        <w:ind w:left="1068"/>
        <w:contextualSpacing/>
        <w:rPr>
          <w:szCs w:val="28"/>
        </w:rPr>
      </w:pPr>
    </w:p>
    <w:p w14:paraId="389CD33F" w14:textId="7360D71D" w:rsidR="001222F0" w:rsidRDefault="001222F0" w:rsidP="00566F25">
      <w:pPr>
        <w:pStyle w:val="10"/>
        <w:spacing w:beforeAutospacing="0" w:after="100"/>
        <w:ind w:left="1068"/>
        <w:contextualSpacing/>
        <w:rPr>
          <w:szCs w:val="28"/>
        </w:rPr>
      </w:pPr>
    </w:p>
    <w:p w14:paraId="65297024" w14:textId="01BFF19E" w:rsidR="001222F0" w:rsidRDefault="001222F0" w:rsidP="00566F25">
      <w:pPr>
        <w:pStyle w:val="10"/>
        <w:spacing w:beforeAutospacing="0" w:after="100"/>
        <w:ind w:left="1068"/>
        <w:contextualSpacing/>
        <w:rPr>
          <w:szCs w:val="28"/>
        </w:rPr>
      </w:pPr>
    </w:p>
    <w:p w14:paraId="3BA4FA63" w14:textId="43268674" w:rsidR="001222F0" w:rsidRDefault="001222F0" w:rsidP="00566F25">
      <w:pPr>
        <w:pStyle w:val="10"/>
        <w:spacing w:beforeAutospacing="0" w:after="100"/>
        <w:ind w:left="1068"/>
        <w:contextualSpacing/>
        <w:rPr>
          <w:szCs w:val="28"/>
        </w:rPr>
      </w:pPr>
    </w:p>
    <w:p w14:paraId="3800DC7E" w14:textId="1417AB23" w:rsidR="001222F0" w:rsidRDefault="001222F0" w:rsidP="00566F25">
      <w:pPr>
        <w:pStyle w:val="10"/>
        <w:spacing w:beforeAutospacing="0" w:after="100"/>
        <w:ind w:left="1068"/>
        <w:contextualSpacing/>
        <w:rPr>
          <w:szCs w:val="28"/>
        </w:rPr>
      </w:pPr>
    </w:p>
    <w:p w14:paraId="6B0D1DA0" w14:textId="71368100" w:rsidR="001222F0" w:rsidRDefault="001222F0" w:rsidP="00566F25">
      <w:pPr>
        <w:pStyle w:val="10"/>
        <w:spacing w:beforeAutospacing="0" w:after="100"/>
        <w:ind w:left="1068"/>
        <w:contextualSpacing/>
        <w:rPr>
          <w:szCs w:val="28"/>
        </w:rPr>
      </w:pPr>
    </w:p>
    <w:p w14:paraId="52FFE332" w14:textId="3DBBDB4B" w:rsidR="001222F0" w:rsidRDefault="001222F0" w:rsidP="00566F25">
      <w:pPr>
        <w:pStyle w:val="10"/>
        <w:spacing w:beforeAutospacing="0" w:after="100"/>
        <w:ind w:left="1068"/>
        <w:contextualSpacing/>
        <w:rPr>
          <w:szCs w:val="28"/>
        </w:rPr>
      </w:pPr>
    </w:p>
    <w:p w14:paraId="6AD895D3" w14:textId="11F8A7BB" w:rsidR="001222F0" w:rsidRDefault="001222F0" w:rsidP="00566F25">
      <w:pPr>
        <w:pStyle w:val="10"/>
        <w:spacing w:beforeAutospacing="0" w:after="100"/>
        <w:ind w:left="1068"/>
        <w:contextualSpacing/>
        <w:rPr>
          <w:szCs w:val="28"/>
        </w:rPr>
      </w:pPr>
    </w:p>
    <w:p w14:paraId="0B476FF4" w14:textId="4E9E8DE6" w:rsidR="001222F0" w:rsidRDefault="001222F0" w:rsidP="00566F25">
      <w:pPr>
        <w:pStyle w:val="10"/>
        <w:spacing w:beforeAutospacing="0" w:after="100"/>
        <w:ind w:left="1068"/>
        <w:contextualSpacing/>
        <w:rPr>
          <w:szCs w:val="28"/>
        </w:rPr>
      </w:pPr>
    </w:p>
    <w:p w14:paraId="33B69B7A" w14:textId="7F7778E0" w:rsidR="001222F0" w:rsidRDefault="001222F0" w:rsidP="00566F25">
      <w:pPr>
        <w:pStyle w:val="10"/>
        <w:spacing w:beforeAutospacing="0" w:after="100"/>
        <w:ind w:left="1068"/>
        <w:contextualSpacing/>
        <w:rPr>
          <w:szCs w:val="28"/>
        </w:rPr>
      </w:pPr>
    </w:p>
    <w:p w14:paraId="2565163F" w14:textId="321345E1" w:rsidR="001222F0" w:rsidRDefault="001222F0" w:rsidP="00566F25">
      <w:pPr>
        <w:pStyle w:val="10"/>
        <w:spacing w:beforeAutospacing="0" w:after="100"/>
        <w:ind w:left="1068"/>
        <w:contextualSpacing/>
        <w:rPr>
          <w:szCs w:val="28"/>
        </w:rPr>
      </w:pPr>
    </w:p>
    <w:p w14:paraId="0D0B54FE" w14:textId="4522BC71" w:rsidR="00153D45" w:rsidRDefault="00153D45" w:rsidP="00153D45">
      <w:pPr>
        <w:pStyle w:val="10"/>
        <w:spacing w:beforeAutospacing="0" w:after="100"/>
        <w:contextualSpacing/>
        <w:rPr>
          <w:szCs w:val="28"/>
        </w:rPr>
      </w:pPr>
    </w:p>
    <w:p w14:paraId="60A4139D" w14:textId="77777777" w:rsidR="00153D45" w:rsidRDefault="00153D45" w:rsidP="00153D45">
      <w:pPr>
        <w:pStyle w:val="10"/>
        <w:spacing w:beforeAutospacing="0" w:after="100"/>
        <w:contextualSpacing/>
        <w:rPr>
          <w:szCs w:val="28"/>
        </w:rPr>
      </w:pPr>
    </w:p>
    <w:p w14:paraId="4A47BB83" w14:textId="77777777" w:rsidR="00153D45" w:rsidRDefault="00153D45" w:rsidP="00566F25">
      <w:pPr>
        <w:pStyle w:val="10"/>
        <w:spacing w:beforeAutospacing="0" w:after="100"/>
        <w:ind w:left="1068"/>
        <w:contextualSpacing/>
        <w:rPr>
          <w:szCs w:val="28"/>
        </w:rPr>
      </w:pPr>
    </w:p>
    <w:p w14:paraId="060D09A6" w14:textId="7ED1439D" w:rsidR="00566F25" w:rsidRPr="00566F25" w:rsidRDefault="00566F25" w:rsidP="00566F25">
      <w:pPr>
        <w:pStyle w:val="10"/>
        <w:numPr>
          <w:ilvl w:val="0"/>
          <w:numId w:val="12"/>
        </w:numPr>
        <w:spacing w:beforeAutospacing="0" w:after="100"/>
        <w:contextualSpacing/>
        <w:rPr>
          <w:szCs w:val="28"/>
        </w:rPr>
      </w:pPr>
      <w:r w:rsidRPr="00566F25">
        <w:rPr>
          <w:szCs w:val="28"/>
        </w:rPr>
        <w:lastRenderedPageBreak/>
        <w:t>Вступление Беларуси в Болонский процесс</w:t>
      </w:r>
    </w:p>
    <w:p w14:paraId="05F7F44F" w14:textId="64602516" w:rsidR="00566F25" w:rsidRPr="00566F25" w:rsidRDefault="00566F25" w:rsidP="00566F25">
      <w:pPr>
        <w:pStyle w:val="10"/>
        <w:spacing w:beforeAutospacing="0" w:after="100"/>
        <w:ind w:left="720"/>
        <w:contextualSpacing/>
        <w:rPr>
          <w:szCs w:val="28"/>
        </w:rPr>
      </w:pPr>
    </w:p>
    <w:p w14:paraId="3D37DE1A" w14:textId="51ADD74F" w:rsidR="00566F25" w:rsidRDefault="00566F25" w:rsidP="00566F25">
      <w:pPr>
        <w:pStyle w:val="10"/>
        <w:spacing w:beforeAutospacing="0" w:after="100"/>
        <w:ind w:firstLine="708"/>
        <w:contextualSpacing/>
        <w:rPr>
          <w:szCs w:val="28"/>
        </w:rPr>
      </w:pPr>
      <w:r>
        <w:rPr>
          <w:szCs w:val="28"/>
        </w:rPr>
        <w:t xml:space="preserve">3.1 </w:t>
      </w:r>
      <w:r w:rsidRPr="00566F25">
        <w:rPr>
          <w:szCs w:val="28"/>
        </w:rPr>
        <w:t>Стадии Болонского процесса</w:t>
      </w:r>
    </w:p>
    <w:p w14:paraId="0A1B81F7" w14:textId="77777777" w:rsidR="00566F25" w:rsidRPr="00566F25" w:rsidRDefault="00566F25" w:rsidP="00566F25">
      <w:pPr>
        <w:pStyle w:val="10"/>
        <w:spacing w:beforeAutospacing="0" w:after="100"/>
        <w:ind w:left="1128"/>
        <w:contextualSpacing/>
        <w:rPr>
          <w:szCs w:val="28"/>
        </w:rPr>
      </w:pPr>
    </w:p>
    <w:p w14:paraId="23505926" w14:textId="77777777" w:rsidR="00566F25" w:rsidRPr="00566F25" w:rsidRDefault="00566F25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  <w:r w:rsidRPr="00566F25">
        <w:rPr>
          <w:b w:val="0"/>
          <w:bCs w:val="0"/>
          <w:szCs w:val="28"/>
        </w:rPr>
        <w:t>Первый цикл приводит к получению квалификации (во многих странах с надписью «бакалавр»), которая получается после успешного завершения учебной программы с 180-240 кредитами ECTS. Программы первого цикла длятся, как правило, три года. Второй цикл приводит к получению квалификации (во многих странах с пометкой «магистр»), которая получается после успешного завершения учебной программы с 60-120 кредитами ECTS. Эти диапазоны для программ бакалавриата и магистратуры были определены при разработке Рамок квалификаций для Европейского пространства высшего образования. Как и структура степеней, она должна обслуживать сопоставимые и передаваемые квалификации и способствовать мобильности и признанию независимо от того, где и как были достигнуты результаты обучения. Европейские и национальные рамки квалификаций основаны на Европейской системе перевода и накопления кредитов (ECTS) с точки зрения качества (результаты обучения) и количества (рабочая нагрузка). На конференции 2003 года в Берлине впервые были обсуждены докторантура и взаимодействие между Европейским пространством высшего образования (EHEA) и Европейским исследовательским пространством (ERA). Принимая во внимание, что в Болонской декларации упоминаются два цикла, которые включают все программы высшего образования («Второй цикл должен привести к получению степени магистра и / или доктора, как во многих европейских странах»), в Берлинском коммюнике 2003 года впоследствии были определены докторские программы в качестве третьего. цикл. Три цикла описываются Дублинскими декларациями. Как правило, в рамках Болонского процесса докторантуру называют третьим циклом. Третий цикл включает в себя широкий спектр докторских фаз от чистых (докторских) учебных программ до полностью независимых исследований. Эти циклы имеют различные последствия для: структуры докторантуры (бесплатная, частично или полностью структурированная); взятую ответственность и ресурсы, вложенные (например, персонал и средства для обученных частей программы) домашним учреждением; возможные связи с предприятиями и профессиональными организациями; соотношение обязательных и факультативных элементов для докторанта; статус докторанта (студент, сотрудник, научный сотрудник).</w:t>
      </w:r>
    </w:p>
    <w:p w14:paraId="5C78C824" w14:textId="070EA497" w:rsidR="00566F25" w:rsidRDefault="00566F25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  <w:r w:rsidRPr="00566F25">
        <w:rPr>
          <w:b w:val="0"/>
          <w:bCs w:val="0"/>
          <w:szCs w:val="28"/>
        </w:rPr>
        <w:t>Особенно в странах, где традиционно бесплатная индивидуальная исследовательская работа доминирует на докторской фазе, лица, выполняющие эти проекты, рассматриваются не как студенты, а как исследователи ранней стадии/молодые специалисты.</w:t>
      </w:r>
    </w:p>
    <w:p w14:paraId="57CCE542" w14:textId="1A2B6458" w:rsidR="00566F25" w:rsidRDefault="00566F25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</w:p>
    <w:p w14:paraId="0DB53CFE" w14:textId="7CF19883" w:rsidR="001222F0" w:rsidRDefault="001222F0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</w:p>
    <w:p w14:paraId="5B74DB4A" w14:textId="2D0D8FE8" w:rsidR="001222F0" w:rsidRDefault="001222F0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</w:p>
    <w:p w14:paraId="7C5691F1" w14:textId="2029C283" w:rsidR="001222F0" w:rsidRDefault="001222F0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</w:p>
    <w:p w14:paraId="7D17EE15" w14:textId="1A159B4F" w:rsidR="001222F0" w:rsidRDefault="001222F0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</w:p>
    <w:p w14:paraId="49F3ECF5" w14:textId="77777777" w:rsidR="001222F0" w:rsidRPr="00566F25" w:rsidRDefault="001222F0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</w:p>
    <w:p w14:paraId="20A2F5E8" w14:textId="0F93AD37" w:rsidR="00566F25" w:rsidRDefault="00566F25" w:rsidP="00566F25">
      <w:pPr>
        <w:pStyle w:val="10"/>
        <w:spacing w:beforeAutospacing="0" w:after="100"/>
        <w:ind w:firstLine="708"/>
        <w:contextualSpacing/>
        <w:rPr>
          <w:szCs w:val="28"/>
        </w:rPr>
      </w:pPr>
      <w:r>
        <w:rPr>
          <w:szCs w:val="28"/>
        </w:rPr>
        <w:lastRenderedPageBreak/>
        <w:t xml:space="preserve">3.2 </w:t>
      </w:r>
      <w:r w:rsidRPr="00566F25">
        <w:rPr>
          <w:szCs w:val="28"/>
        </w:rPr>
        <w:t>Основные требования к образовательной системе Беларуси</w:t>
      </w:r>
    </w:p>
    <w:p w14:paraId="75710236" w14:textId="77777777" w:rsidR="00566F25" w:rsidRPr="00566F25" w:rsidRDefault="00566F25" w:rsidP="00566F25">
      <w:pPr>
        <w:pStyle w:val="10"/>
        <w:spacing w:beforeAutospacing="0" w:after="100"/>
        <w:contextualSpacing/>
        <w:rPr>
          <w:szCs w:val="28"/>
        </w:rPr>
      </w:pPr>
    </w:p>
    <w:p w14:paraId="26C07D2E" w14:textId="77777777" w:rsidR="00566F25" w:rsidRPr="00566F25" w:rsidRDefault="00566F25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  <w:r w:rsidRPr="00566F25">
        <w:rPr>
          <w:b w:val="0"/>
          <w:bCs w:val="0"/>
          <w:szCs w:val="28"/>
        </w:rPr>
        <w:t>Болонская архитектура высшего образования</w:t>
      </w:r>
    </w:p>
    <w:p w14:paraId="418F1485" w14:textId="77777777" w:rsidR="00566F25" w:rsidRPr="00566F25" w:rsidRDefault="00566F25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  <w:r w:rsidRPr="00566F25">
        <w:rPr>
          <w:b w:val="0"/>
          <w:bCs w:val="0"/>
          <w:szCs w:val="28"/>
        </w:rPr>
        <w:t xml:space="preserve">Подразумевает внедрение системы трех циклов – бакалавр, магистр и кандидат наук. Ну и естественно, сокращение срока образования до четырех </w:t>
      </w:r>
      <w:proofErr w:type="gramStart"/>
      <w:r w:rsidRPr="00566F25">
        <w:rPr>
          <w:b w:val="0"/>
          <w:bCs w:val="0"/>
          <w:szCs w:val="28"/>
        </w:rPr>
        <w:t>лет,-</w:t>
      </w:r>
      <w:proofErr w:type="gramEnd"/>
      <w:r w:rsidRPr="00566F25">
        <w:rPr>
          <w:b w:val="0"/>
          <w:bCs w:val="0"/>
          <w:szCs w:val="28"/>
        </w:rPr>
        <w:t xml:space="preserve"> данное требование уже можно считать выполненным.</w:t>
      </w:r>
    </w:p>
    <w:p w14:paraId="2912FEBF" w14:textId="77777777" w:rsidR="00566F25" w:rsidRPr="00566F25" w:rsidRDefault="00566F25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  <w:r w:rsidRPr="00566F25">
        <w:rPr>
          <w:b w:val="0"/>
          <w:bCs w:val="0"/>
          <w:szCs w:val="28"/>
        </w:rPr>
        <w:t>Студенческое самоуправление</w:t>
      </w:r>
    </w:p>
    <w:p w14:paraId="58C3A35A" w14:textId="77777777" w:rsidR="00566F25" w:rsidRPr="00566F25" w:rsidRDefault="00566F25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  <w:r w:rsidRPr="00566F25">
        <w:rPr>
          <w:b w:val="0"/>
          <w:bCs w:val="0"/>
          <w:szCs w:val="28"/>
        </w:rPr>
        <w:t>Право самих студентов формировать выборные органы и реально влиять на жизнь и образовательный процесс своего университета.</w:t>
      </w:r>
    </w:p>
    <w:p w14:paraId="645E95D9" w14:textId="77777777" w:rsidR="00566F25" w:rsidRPr="00566F25" w:rsidRDefault="00566F25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  <w:r w:rsidRPr="00566F25">
        <w:rPr>
          <w:b w:val="0"/>
          <w:bCs w:val="0"/>
          <w:szCs w:val="28"/>
        </w:rPr>
        <w:t>Академическая мобильность и свобода</w:t>
      </w:r>
    </w:p>
    <w:p w14:paraId="1BA7A417" w14:textId="77777777" w:rsidR="00566F25" w:rsidRPr="00566F25" w:rsidRDefault="00566F25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  <w:r w:rsidRPr="00566F25">
        <w:rPr>
          <w:b w:val="0"/>
          <w:bCs w:val="0"/>
          <w:szCs w:val="28"/>
        </w:rPr>
        <w:t>Подразумевает практику внедрения свободного обмена студентами среди ВУЗов разных стран. При этом важно, чтобы предметы, изученные за время такого обмена, автоматически засчитывались по возвращении домой в родном университете без необходимости пересдачи.</w:t>
      </w:r>
    </w:p>
    <w:p w14:paraId="094EBC4F" w14:textId="77777777" w:rsidR="00566F25" w:rsidRPr="00566F25" w:rsidRDefault="00566F25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  <w:r w:rsidRPr="00566F25">
        <w:rPr>
          <w:b w:val="0"/>
          <w:bCs w:val="0"/>
          <w:szCs w:val="28"/>
        </w:rPr>
        <w:t>Партнерство студентов и администрации</w:t>
      </w:r>
    </w:p>
    <w:p w14:paraId="2C9ACDC9" w14:textId="77777777" w:rsidR="00566F25" w:rsidRPr="00566F25" w:rsidRDefault="00566F25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  <w:r w:rsidRPr="00566F25">
        <w:rPr>
          <w:b w:val="0"/>
          <w:bCs w:val="0"/>
          <w:szCs w:val="28"/>
        </w:rPr>
        <w:t xml:space="preserve">Реальная свобода и обеспечение права как </w:t>
      </w:r>
      <w:proofErr w:type="gramStart"/>
      <w:r w:rsidRPr="00566F25">
        <w:rPr>
          <w:b w:val="0"/>
          <w:bCs w:val="0"/>
          <w:szCs w:val="28"/>
        </w:rPr>
        <w:t>студентов</w:t>
      </w:r>
      <w:proofErr w:type="gramEnd"/>
      <w:r w:rsidRPr="00566F25">
        <w:rPr>
          <w:b w:val="0"/>
          <w:bCs w:val="0"/>
          <w:szCs w:val="28"/>
        </w:rPr>
        <w:t xml:space="preserve"> так и преподавателей на создание общественных объединений (и как следствие отмена статьи 193.1 УК Республики Беларусь - Незаконные организация деятельности общественного объединения, религиозной организации или фонда либо участие в их деятельности).</w:t>
      </w:r>
    </w:p>
    <w:p w14:paraId="49D55C81" w14:textId="77777777" w:rsidR="00566F25" w:rsidRPr="00566F25" w:rsidRDefault="00566F25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  <w:r w:rsidRPr="00566F25">
        <w:rPr>
          <w:b w:val="0"/>
          <w:bCs w:val="0"/>
          <w:szCs w:val="28"/>
        </w:rPr>
        <w:t>Реальная выборность курсов</w:t>
      </w:r>
    </w:p>
    <w:p w14:paraId="194A9B74" w14:textId="77777777" w:rsidR="00566F25" w:rsidRPr="00566F25" w:rsidRDefault="00566F25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  <w:r w:rsidRPr="00566F25">
        <w:rPr>
          <w:b w:val="0"/>
          <w:bCs w:val="0"/>
          <w:szCs w:val="28"/>
        </w:rPr>
        <w:t>Каждый студент самостоятельно исходя из личной заинтересованности может формировать список дисциплин для изучения в рамках выбранного ими курса. В свою очередь это. несомненно, очистит наше образование от неактуальных изжитых прошлым предметов.</w:t>
      </w:r>
    </w:p>
    <w:p w14:paraId="5E3A7BC5" w14:textId="238EDBB2" w:rsidR="00566F25" w:rsidRPr="00566F25" w:rsidRDefault="00566F25" w:rsidP="00566F2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</w:p>
    <w:p w14:paraId="04AB0B1D" w14:textId="6DF29D91" w:rsidR="00566F25" w:rsidRDefault="00566F25" w:rsidP="00566F25">
      <w:pPr>
        <w:pStyle w:val="10"/>
        <w:spacing w:beforeAutospacing="0" w:after="100"/>
        <w:ind w:firstLine="708"/>
        <w:contextualSpacing/>
        <w:rPr>
          <w:szCs w:val="28"/>
        </w:rPr>
      </w:pPr>
      <w:r>
        <w:rPr>
          <w:szCs w:val="28"/>
        </w:rPr>
        <w:t xml:space="preserve">3.3 </w:t>
      </w:r>
      <w:r w:rsidRPr="00566F25">
        <w:rPr>
          <w:szCs w:val="28"/>
        </w:rPr>
        <w:t>Сроки и прогнозы завершения Болонского процесса</w:t>
      </w:r>
    </w:p>
    <w:p w14:paraId="1D554F55" w14:textId="77777777" w:rsidR="00566F25" w:rsidRPr="00566F25" w:rsidRDefault="00566F25" w:rsidP="00566F25">
      <w:pPr>
        <w:pStyle w:val="10"/>
        <w:spacing w:beforeAutospacing="0" w:after="100"/>
        <w:ind w:left="1128"/>
        <w:contextualSpacing/>
        <w:rPr>
          <w:szCs w:val="28"/>
        </w:rPr>
      </w:pPr>
    </w:p>
    <w:p w14:paraId="30D60325" w14:textId="77777777" w:rsidR="00566F25" w:rsidRPr="00566F25" w:rsidRDefault="00566F25" w:rsidP="00153D45">
      <w:pPr>
        <w:pStyle w:val="10"/>
        <w:spacing w:beforeAutospacing="0" w:after="100"/>
        <w:ind w:firstLine="708"/>
        <w:contextualSpacing/>
        <w:rPr>
          <w:b w:val="0"/>
          <w:bCs w:val="0"/>
          <w:szCs w:val="28"/>
        </w:rPr>
      </w:pPr>
      <w:r w:rsidRPr="00566F25">
        <w:rPr>
          <w:b w:val="0"/>
          <w:bCs w:val="0"/>
          <w:szCs w:val="28"/>
        </w:rPr>
        <w:t>По словам Министра образования Беларусь планирует закончить процесс реорганизации системы высшего образования и приведения ее к требованиям, оглашенным в Дорожной карте к 2030 году. К тому времени все Вузы страны смогут быть реальными членами Европейского пространства высшего образования.</w:t>
      </w:r>
    </w:p>
    <w:p w14:paraId="7A1DF3E1" w14:textId="1D437158" w:rsidR="00207B26" w:rsidRDefault="00207B26" w:rsidP="00153D45">
      <w:pPr>
        <w:pStyle w:val="10"/>
        <w:ind w:firstLine="708"/>
        <w:rPr>
          <w:szCs w:val="28"/>
        </w:rPr>
      </w:pPr>
      <w:r>
        <w:rPr>
          <w:szCs w:val="28"/>
        </w:rPr>
        <w:br w:type="page"/>
      </w:r>
    </w:p>
    <w:p w14:paraId="6A2207B4" w14:textId="77777777" w:rsidR="00AC3E0F" w:rsidRDefault="003B6593" w:rsidP="00207B26">
      <w:pPr>
        <w:pStyle w:val="10"/>
        <w:jc w:val="center"/>
      </w:pPr>
      <w:bookmarkStart w:id="31" w:name="_Toc115116194"/>
      <w:r>
        <w:lastRenderedPageBreak/>
        <w:t>ЗАКЛЮЧЕНИЕ</w:t>
      </w:r>
      <w:bookmarkEnd w:id="31"/>
    </w:p>
    <w:p w14:paraId="368E8618" w14:textId="77777777" w:rsidR="003B6593" w:rsidRDefault="003B6593" w:rsidP="00153D45">
      <w:pPr>
        <w:pStyle w:val="10"/>
      </w:pPr>
    </w:p>
    <w:p w14:paraId="25988A2C" w14:textId="0B4A4963" w:rsidR="003B6593" w:rsidRDefault="00EB65B0" w:rsidP="00153D45">
      <w:pPr>
        <w:pStyle w:val="10"/>
        <w:spacing w:beforeAutospacing="0" w:after="100"/>
        <w:ind w:firstLine="708"/>
        <w:contextualSpacing/>
        <w:rPr>
          <w:b w:val="0"/>
          <w:bCs w:val="0"/>
        </w:rPr>
      </w:pPr>
      <w:r w:rsidRPr="00EB65B0">
        <w:rPr>
          <w:b w:val="0"/>
          <w:bCs w:val="0"/>
          <w:szCs w:val="28"/>
        </w:rPr>
        <w:t>С точки зрения пользы для студента, - внедрение Болонского процесса дает расширение доступа к </w:t>
      </w:r>
      <w:hyperlink r:id="rId16" w:tooltip="Высшее образование" w:history="1">
        <w:r w:rsidRPr="00EB65B0">
          <w:rPr>
            <w:b w:val="0"/>
            <w:bCs w:val="0"/>
            <w:szCs w:val="28"/>
          </w:rPr>
          <w:t>высшему образованию</w:t>
        </w:r>
      </w:hyperlink>
      <w:r w:rsidRPr="00EB65B0">
        <w:rPr>
          <w:b w:val="0"/>
          <w:bCs w:val="0"/>
          <w:szCs w:val="28"/>
        </w:rPr>
        <w:t>, дальнейшее повышение качества и привлекательности европейского высшего образования, расширение мобильности </w:t>
      </w:r>
      <w:hyperlink r:id="rId17" w:tooltip="Студент" w:history="1">
        <w:r w:rsidRPr="00EB65B0">
          <w:rPr>
            <w:b w:val="0"/>
            <w:bCs w:val="0"/>
            <w:szCs w:val="28"/>
          </w:rPr>
          <w:t>студентов</w:t>
        </w:r>
      </w:hyperlink>
      <w:r w:rsidRPr="00EB65B0">
        <w:rPr>
          <w:b w:val="0"/>
          <w:bCs w:val="0"/>
          <w:szCs w:val="28"/>
        </w:rPr>
        <w:t> и </w:t>
      </w:r>
      <w:hyperlink r:id="rId18" w:tooltip="Преподаватель" w:history="1">
        <w:r w:rsidRPr="00EB65B0">
          <w:rPr>
            <w:b w:val="0"/>
            <w:bCs w:val="0"/>
            <w:szCs w:val="28"/>
          </w:rPr>
          <w:t>преподавателей</w:t>
        </w:r>
      </w:hyperlink>
      <w:r w:rsidRPr="00EB65B0">
        <w:rPr>
          <w:b w:val="0"/>
          <w:bCs w:val="0"/>
          <w:szCs w:val="28"/>
        </w:rPr>
        <w:t>, а также обеспечение успешного трудоустройства выпускников вузов за счет того, что все академические степени и другие квалификации будут ориентированы  непосредственно на </w:t>
      </w:r>
      <w:hyperlink r:id="rId19" w:tooltip="Рынок труда" w:history="1">
        <w:r w:rsidRPr="00EB65B0">
          <w:rPr>
            <w:b w:val="0"/>
            <w:bCs w:val="0"/>
            <w:szCs w:val="28"/>
          </w:rPr>
          <w:t>рынок труда</w:t>
        </w:r>
      </w:hyperlink>
      <w:r w:rsidRPr="00EB65B0">
        <w:rPr>
          <w:b w:val="0"/>
          <w:bCs w:val="0"/>
          <w:szCs w:val="28"/>
        </w:rPr>
        <w:t>. Присоединение </w:t>
      </w:r>
      <w:hyperlink r:id="rId20" w:tooltip="Россия" w:history="1">
        <w:r w:rsidRPr="00EB65B0">
          <w:rPr>
            <w:b w:val="0"/>
            <w:bCs w:val="0"/>
            <w:szCs w:val="28"/>
          </w:rPr>
          <w:t>Белоруссии</w:t>
        </w:r>
      </w:hyperlink>
      <w:r w:rsidRPr="00EB65B0">
        <w:rPr>
          <w:b w:val="0"/>
          <w:bCs w:val="0"/>
          <w:szCs w:val="28"/>
        </w:rPr>
        <w:t> к Болонскому процессу даст новый импульс к реформированию </w:t>
      </w:r>
      <w:hyperlink r:id="rId21" w:tooltip="Высшее профессиональное образование" w:history="1">
        <w:r w:rsidRPr="00EB65B0">
          <w:rPr>
            <w:b w:val="0"/>
            <w:bCs w:val="0"/>
            <w:szCs w:val="28"/>
          </w:rPr>
          <w:t>высшего профессионального образования</w:t>
        </w:r>
      </w:hyperlink>
      <w:r w:rsidRPr="00EB65B0">
        <w:rPr>
          <w:b w:val="0"/>
          <w:bCs w:val="0"/>
          <w:szCs w:val="28"/>
        </w:rPr>
        <w:t>, открывает дополнительные возможности для участия наших вузов в проектах, финансируемых </w:t>
      </w:r>
      <w:hyperlink r:id="rId22" w:tooltip="Европейская комиссия" w:history="1">
        <w:r w:rsidRPr="00EB65B0">
          <w:rPr>
            <w:b w:val="0"/>
            <w:bCs w:val="0"/>
            <w:szCs w:val="28"/>
          </w:rPr>
          <w:t>Европейской комиссией</w:t>
        </w:r>
      </w:hyperlink>
      <w:r w:rsidRPr="00EB65B0">
        <w:rPr>
          <w:b w:val="0"/>
          <w:bCs w:val="0"/>
          <w:szCs w:val="28"/>
        </w:rPr>
        <w:t>, а студентам и преподавателям высших учебных заведений — в академических обменах с университетами европейских стран. Поэтому присоединение Белоруссии к Болонскому процессу, которое состоялось в 2015 году, необходимо рассматривать как инструмент развития высшего профессионального образования. Создание единого европейского образовательного пространства было основной целью Болонского соглашения.</w:t>
      </w:r>
      <w:r w:rsidR="003B6593">
        <w:br w:type="page"/>
      </w:r>
    </w:p>
    <w:p w14:paraId="67F98FDA" w14:textId="5862F7F3" w:rsidR="003B6593" w:rsidRDefault="003B6593" w:rsidP="00153D45">
      <w:pPr>
        <w:pStyle w:val="10"/>
        <w:ind w:firstLine="851"/>
        <w:contextualSpacing/>
        <w:jc w:val="center"/>
        <w:rPr>
          <w:szCs w:val="28"/>
        </w:rPr>
      </w:pPr>
      <w:bookmarkStart w:id="32" w:name="_Toc114152862"/>
      <w:bookmarkStart w:id="33" w:name="_Toc115116195"/>
      <w:r w:rsidRPr="0044471A">
        <w:rPr>
          <w:szCs w:val="28"/>
        </w:rPr>
        <w:lastRenderedPageBreak/>
        <w:t>СПИСОК</w:t>
      </w:r>
      <w:r>
        <w:rPr>
          <w:szCs w:val="28"/>
        </w:rPr>
        <w:t xml:space="preserve"> ИСПОЛЬЗОВАННЫХ</w:t>
      </w:r>
      <w:r w:rsidRPr="0044471A">
        <w:rPr>
          <w:szCs w:val="28"/>
        </w:rPr>
        <w:t xml:space="preserve"> ИСТОЧНИКОВ</w:t>
      </w:r>
      <w:bookmarkEnd w:id="32"/>
      <w:bookmarkEnd w:id="33"/>
    </w:p>
    <w:p w14:paraId="67CF0D0D" w14:textId="77777777" w:rsidR="00153D45" w:rsidRPr="00153D45" w:rsidRDefault="00153D45" w:rsidP="00153D45">
      <w:pPr>
        <w:pStyle w:val="paragraph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</w:rPr>
      </w:pPr>
    </w:p>
    <w:p w14:paraId="06C2A526" w14:textId="0FE5D71F" w:rsidR="00153D45" w:rsidRPr="00153D45" w:rsidRDefault="003B6593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bookmarkStart w:id="34" w:name="_Toc115116086"/>
      <w:bookmarkStart w:id="35" w:name="_Toc115116196"/>
      <w:r w:rsidRPr="00153D45">
        <w:rPr>
          <w:color w:val="000000"/>
          <w:sz w:val="28"/>
          <w:szCs w:val="28"/>
        </w:rPr>
        <w:t xml:space="preserve">1. </w:t>
      </w:r>
      <w:r w:rsidR="00EB65B0" w:rsidRPr="00153D45">
        <w:rPr>
          <w:color w:val="000000"/>
          <w:sz w:val="28"/>
          <w:szCs w:val="28"/>
        </w:rPr>
        <w:t xml:space="preserve"> Болонский процесс: нарастающая динамика и многообразие (документы международных форумов и мнения европейских экспертов) / Под научной редакцией </w:t>
      </w:r>
      <w:proofErr w:type="spellStart"/>
      <w:r w:rsidR="00EB65B0" w:rsidRPr="00153D45">
        <w:rPr>
          <w:color w:val="000000"/>
          <w:sz w:val="28"/>
          <w:szCs w:val="28"/>
        </w:rPr>
        <w:t>проф.В.И</w:t>
      </w:r>
      <w:proofErr w:type="spellEnd"/>
      <w:r w:rsidR="00EB65B0" w:rsidRPr="00153D45">
        <w:rPr>
          <w:color w:val="000000"/>
          <w:sz w:val="28"/>
          <w:szCs w:val="28"/>
        </w:rPr>
        <w:t xml:space="preserve">. </w:t>
      </w:r>
      <w:proofErr w:type="spellStart"/>
      <w:r w:rsidR="00EB65B0" w:rsidRPr="00153D45">
        <w:rPr>
          <w:color w:val="000000"/>
          <w:sz w:val="28"/>
          <w:szCs w:val="28"/>
        </w:rPr>
        <w:t>Байденко</w:t>
      </w:r>
      <w:proofErr w:type="spellEnd"/>
      <w:r w:rsidR="00EB65B0" w:rsidRPr="00153D45">
        <w:rPr>
          <w:color w:val="000000"/>
          <w:sz w:val="28"/>
          <w:szCs w:val="28"/>
        </w:rPr>
        <w:t>. М., 2002.</w:t>
      </w:r>
      <w:r w:rsidRPr="00153D45">
        <w:rPr>
          <w:color w:val="000000"/>
          <w:sz w:val="28"/>
          <w:szCs w:val="28"/>
        </w:rPr>
        <w:br/>
        <w:t xml:space="preserve"> </w:t>
      </w:r>
      <w:r w:rsidRPr="00153D45">
        <w:rPr>
          <w:color w:val="000000"/>
          <w:sz w:val="28"/>
          <w:szCs w:val="28"/>
        </w:rPr>
        <w:tab/>
        <w:t xml:space="preserve">2. </w:t>
      </w:r>
      <w:r w:rsidR="00153D45">
        <w:rPr>
          <w:color w:val="000000"/>
          <w:sz w:val="28"/>
          <w:szCs w:val="28"/>
        </w:rPr>
        <w:t xml:space="preserve"> </w:t>
      </w:r>
      <w:hyperlink r:id="rId23" w:tooltip="Антонова, Наталья Владимировна (страница отсутствует)" w:history="1">
        <w:r w:rsidR="00EB65B0" w:rsidRPr="00153D45">
          <w:rPr>
            <w:color w:val="000000"/>
            <w:sz w:val="28"/>
            <w:szCs w:val="28"/>
          </w:rPr>
          <w:t>Антонова Н. В.</w:t>
        </w:r>
      </w:hyperlink>
      <w:r w:rsidR="00EB65B0" w:rsidRPr="00153D45">
        <w:rPr>
          <w:color w:val="000000"/>
          <w:sz w:val="28"/>
          <w:szCs w:val="28"/>
        </w:rPr>
        <w:t>, Шмелёва Ж. Н. Управление болонским процессом: [монография] / М-во сельского хоз-ва Российской Федерации, Красноярский гос. аграрный университет. — Красноярск: КГАУ, 2012</w:t>
      </w:r>
      <w:r w:rsidRPr="00153D45">
        <w:rPr>
          <w:color w:val="000000"/>
          <w:sz w:val="28"/>
          <w:szCs w:val="28"/>
        </w:rPr>
        <w:br/>
        <w:t xml:space="preserve"> </w:t>
      </w:r>
      <w:r w:rsidRPr="00153D45">
        <w:rPr>
          <w:color w:val="000000"/>
          <w:sz w:val="28"/>
          <w:szCs w:val="28"/>
        </w:rPr>
        <w:tab/>
        <w:t xml:space="preserve">3. </w:t>
      </w:r>
      <w:r w:rsidR="00153D45">
        <w:rPr>
          <w:color w:val="000000"/>
          <w:sz w:val="28"/>
          <w:szCs w:val="28"/>
        </w:rPr>
        <w:t xml:space="preserve"> </w:t>
      </w:r>
      <w:hyperlink r:id="rId24" w:tooltip="Байденко, Валентин Иванович (страница отсутствует)" w:history="1">
        <w:r w:rsidR="00EB65B0" w:rsidRPr="00153D45">
          <w:rPr>
            <w:color w:val="000000"/>
            <w:sz w:val="28"/>
            <w:szCs w:val="28"/>
          </w:rPr>
          <w:t>Байденко В. И.</w:t>
        </w:r>
      </w:hyperlink>
      <w:r w:rsidR="00EB65B0" w:rsidRPr="00153D45">
        <w:rPr>
          <w:color w:val="000000"/>
          <w:sz w:val="28"/>
          <w:szCs w:val="28"/>
        </w:rPr>
        <w:t xml:space="preserve">, Селезнёва Н. А., Карачарова Е. Н. Концепция российского мониторинга Болонского процесса. — М.: </w:t>
      </w:r>
      <w:proofErr w:type="spellStart"/>
      <w:r w:rsidR="00EB65B0" w:rsidRPr="00153D45">
        <w:rPr>
          <w:color w:val="000000"/>
          <w:sz w:val="28"/>
          <w:szCs w:val="28"/>
        </w:rPr>
        <w:t>Исслед</w:t>
      </w:r>
      <w:proofErr w:type="spellEnd"/>
      <w:r w:rsidR="00EB65B0" w:rsidRPr="00153D45">
        <w:rPr>
          <w:color w:val="000000"/>
          <w:sz w:val="28"/>
          <w:szCs w:val="28"/>
        </w:rPr>
        <w:t xml:space="preserve">. центр проблем качества </w:t>
      </w:r>
      <w:proofErr w:type="spellStart"/>
      <w:r w:rsidR="00EB65B0" w:rsidRPr="00153D45">
        <w:rPr>
          <w:color w:val="000000"/>
          <w:sz w:val="28"/>
          <w:szCs w:val="28"/>
        </w:rPr>
        <w:t>подгот</w:t>
      </w:r>
      <w:proofErr w:type="spellEnd"/>
      <w:r w:rsidR="00EB65B0" w:rsidRPr="00153D45">
        <w:rPr>
          <w:color w:val="000000"/>
          <w:sz w:val="28"/>
          <w:szCs w:val="28"/>
        </w:rPr>
        <w:t>. специалистов, 2004.</w:t>
      </w:r>
      <w:r w:rsidRPr="00153D45">
        <w:rPr>
          <w:color w:val="000000"/>
          <w:sz w:val="28"/>
          <w:szCs w:val="28"/>
        </w:rPr>
        <w:br/>
        <w:t xml:space="preserve"> </w:t>
      </w:r>
      <w:r w:rsidRPr="00153D45">
        <w:rPr>
          <w:color w:val="000000"/>
          <w:sz w:val="28"/>
          <w:szCs w:val="28"/>
        </w:rPr>
        <w:tab/>
      </w:r>
      <w:bookmarkEnd w:id="34"/>
      <w:bookmarkEnd w:id="35"/>
      <w:r w:rsidR="00EB65B0" w:rsidRPr="00153D45">
        <w:rPr>
          <w:color w:val="000000"/>
          <w:sz w:val="28"/>
          <w:szCs w:val="28"/>
        </w:rPr>
        <w:t>4.</w:t>
      </w:r>
      <w:r w:rsidR="00153D45" w:rsidRPr="00153D45">
        <w:rPr>
          <w:color w:val="000000"/>
          <w:sz w:val="28"/>
          <w:szCs w:val="28"/>
        </w:rPr>
        <w:t xml:space="preserve">   </w:t>
      </w:r>
      <w:r w:rsidR="00EB65B0" w:rsidRPr="00153D45">
        <w:rPr>
          <w:color w:val="000000"/>
          <w:sz w:val="28"/>
          <w:szCs w:val="28"/>
        </w:rPr>
        <w:t>Что такое Болонская система образования (Электронный ресурс).</w:t>
      </w:r>
      <w:r w:rsidR="00153D45" w:rsidRPr="00153D45">
        <w:rPr>
          <w:color w:val="000000"/>
          <w:sz w:val="28"/>
          <w:szCs w:val="28"/>
        </w:rPr>
        <w:t xml:space="preserve"> Режим доступа: </w:t>
      </w:r>
      <w:hyperlink r:id="rId25" w:anchor="one" w:history="1">
        <w:r w:rsidR="00153D45" w:rsidRPr="00153D45">
          <w:rPr>
            <w:color w:val="000000"/>
            <w:sz w:val="28"/>
          </w:rPr>
          <w:t>https://journal.tinkoff.ru/guide/bologna-process/#one</w:t>
        </w:r>
      </w:hyperlink>
      <w:r w:rsidR="00153D45" w:rsidRPr="00153D45">
        <w:rPr>
          <w:color w:val="000000"/>
          <w:sz w:val="28"/>
          <w:szCs w:val="28"/>
        </w:rPr>
        <w:t>.</w:t>
      </w:r>
    </w:p>
    <w:p w14:paraId="67D4DF30" w14:textId="22AD1176" w:rsidR="00153D45" w:rsidRDefault="00153D45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153D45">
        <w:rPr>
          <w:color w:val="000000"/>
          <w:sz w:val="28"/>
          <w:szCs w:val="28"/>
        </w:rPr>
        <w:t xml:space="preserve">5. </w:t>
      </w:r>
      <w:r>
        <w:rPr>
          <w:color w:val="000000"/>
          <w:sz w:val="28"/>
          <w:szCs w:val="28"/>
        </w:rPr>
        <w:t xml:space="preserve"> </w:t>
      </w:r>
      <w:r w:rsidRPr="00153D45">
        <w:rPr>
          <w:color w:val="000000"/>
          <w:sz w:val="28"/>
          <w:szCs w:val="28"/>
        </w:rPr>
        <w:t>Бо</w:t>
      </w:r>
      <w:r>
        <w:rPr>
          <w:color w:val="000000"/>
          <w:sz w:val="28"/>
          <w:szCs w:val="28"/>
        </w:rPr>
        <w:t xml:space="preserve">лонский процесс в Беларуси </w:t>
      </w:r>
      <w:r w:rsidRPr="00153D45">
        <w:rPr>
          <w:color w:val="000000"/>
          <w:sz w:val="28"/>
          <w:szCs w:val="28"/>
        </w:rPr>
        <w:t>(Электронный ресурс). Режим доступа:</w:t>
      </w:r>
      <w:r>
        <w:rPr>
          <w:color w:val="000000"/>
          <w:sz w:val="28"/>
          <w:szCs w:val="28"/>
        </w:rPr>
        <w:t xml:space="preserve"> </w:t>
      </w:r>
      <w:hyperlink r:id="rId26" w:history="1">
        <w:r w:rsidRPr="00454A42">
          <w:rPr>
            <w:rStyle w:val="a6"/>
            <w:sz w:val="28"/>
            <w:szCs w:val="28"/>
          </w:rPr>
          <w:t>https://justarrived.by/ru/page/bolonskii-protsess</w:t>
        </w:r>
      </w:hyperlink>
      <w:r>
        <w:rPr>
          <w:color w:val="000000"/>
          <w:sz w:val="28"/>
          <w:szCs w:val="28"/>
        </w:rPr>
        <w:t>.</w:t>
      </w:r>
    </w:p>
    <w:p w14:paraId="6A9BF5D9" w14:textId="4366F6DE" w:rsidR="00153D45" w:rsidRPr="00153D45" w:rsidRDefault="00153D45" w:rsidP="00153D45">
      <w:pPr>
        <w:pStyle w:val="paragraph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r w:rsidRPr="00153D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Википедия </w:t>
      </w:r>
      <w:r w:rsidRPr="00153D45">
        <w:rPr>
          <w:color w:val="000000"/>
          <w:sz w:val="28"/>
          <w:szCs w:val="28"/>
        </w:rPr>
        <w:t>(Электронный ресурс). Режим доступа:</w:t>
      </w:r>
      <w:r>
        <w:rPr>
          <w:color w:val="000000"/>
          <w:sz w:val="28"/>
          <w:szCs w:val="28"/>
        </w:rPr>
        <w:t xml:space="preserve"> </w:t>
      </w:r>
      <w:r w:rsidRPr="00153D45">
        <w:rPr>
          <w:color w:val="000000"/>
          <w:sz w:val="28"/>
          <w:szCs w:val="28"/>
        </w:rPr>
        <w:t>https://ru.wikipedia.org/wiki/Болонский_процесс</w:t>
      </w:r>
      <w:r>
        <w:rPr>
          <w:color w:val="000000"/>
          <w:sz w:val="28"/>
          <w:szCs w:val="28"/>
        </w:rPr>
        <w:t>.</w:t>
      </w:r>
    </w:p>
    <w:sectPr w:rsidR="00153D45" w:rsidRPr="00153D45" w:rsidSect="00153D4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46B9"/>
    <w:multiLevelType w:val="hybridMultilevel"/>
    <w:tmpl w:val="33D6FF88"/>
    <w:lvl w:ilvl="0" w:tplc="8C04034E">
      <w:start w:val="3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4650FD"/>
    <w:multiLevelType w:val="multilevel"/>
    <w:tmpl w:val="73A883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DE93988"/>
    <w:multiLevelType w:val="hybridMultilevel"/>
    <w:tmpl w:val="92F2E4E4"/>
    <w:lvl w:ilvl="0" w:tplc="9A563F9C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C96094"/>
    <w:multiLevelType w:val="hybridMultilevel"/>
    <w:tmpl w:val="EFD082A4"/>
    <w:lvl w:ilvl="0" w:tplc="ACFE0012">
      <w:start w:val="1"/>
      <w:numFmt w:val="decimal"/>
      <w:lvlText w:val="%1"/>
      <w:lvlJc w:val="left"/>
      <w:pPr>
        <w:ind w:left="720" w:hanging="360"/>
      </w:pPr>
      <w:rPr>
        <w:rFonts w:eastAsiaTheme="minorHAnsi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702C8"/>
    <w:multiLevelType w:val="multilevel"/>
    <w:tmpl w:val="B08E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E36AF2"/>
    <w:multiLevelType w:val="multilevel"/>
    <w:tmpl w:val="2F00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D74DF"/>
    <w:multiLevelType w:val="multilevel"/>
    <w:tmpl w:val="ACAA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C29DE"/>
    <w:multiLevelType w:val="multilevel"/>
    <w:tmpl w:val="BF5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11BB0"/>
    <w:multiLevelType w:val="hybridMultilevel"/>
    <w:tmpl w:val="D4A8CD56"/>
    <w:lvl w:ilvl="0" w:tplc="D1A2BB52">
      <w:start w:val="2"/>
      <w:numFmt w:val="decimal"/>
      <w:lvlText w:val="%1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1317C"/>
    <w:multiLevelType w:val="multilevel"/>
    <w:tmpl w:val="E1AC17B6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75A508A4"/>
    <w:multiLevelType w:val="multilevel"/>
    <w:tmpl w:val="3D4632AC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11" w15:restartNumberingAfterBreak="0">
    <w:nsid w:val="799E742F"/>
    <w:multiLevelType w:val="multilevel"/>
    <w:tmpl w:val="041878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BBD5562"/>
    <w:multiLevelType w:val="hybridMultilevel"/>
    <w:tmpl w:val="3D16C0BE"/>
    <w:lvl w:ilvl="0" w:tplc="B43ABAAE">
      <w:start w:val="3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F8E38F5"/>
    <w:multiLevelType w:val="multilevel"/>
    <w:tmpl w:val="3D4632AC"/>
    <w:styleLink w:val="1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8" w:hanging="2160"/>
      </w:pPr>
      <w:rPr>
        <w:rFonts w:hint="default"/>
      </w:rPr>
    </w:lvl>
  </w:abstractNum>
  <w:num w:numId="1" w16cid:durableId="2012681841">
    <w:abstractNumId w:val="6"/>
  </w:num>
  <w:num w:numId="2" w16cid:durableId="152110405">
    <w:abstractNumId w:val="8"/>
  </w:num>
  <w:num w:numId="3" w16cid:durableId="1118530989">
    <w:abstractNumId w:val="3"/>
  </w:num>
  <w:num w:numId="4" w16cid:durableId="557595584">
    <w:abstractNumId w:val="7"/>
  </w:num>
  <w:num w:numId="5" w16cid:durableId="2095471332">
    <w:abstractNumId w:val="5"/>
  </w:num>
  <w:num w:numId="6" w16cid:durableId="1273395686">
    <w:abstractNumId w:val="4"/>
  </w:num>
  <w:num w:numId="7" w16cid:durableId="1605455588">
    <w:abstractNumId w:val="2"/>
  </w:num>
  <w:num w:numId="8" w16cid:durableId="1046297535">
    <w:abstractNumId w:val="0"/>
  </w:num>
  <w:num w:numId="9" w16cid:durableId="1328246109">
    <w:abstractNumId w:val="12"/>
  </w:num>
  <w:num w:numId="10" w16cid:durableId="256863480">
    <w:abstractNumId w:val="9"/>
  </w:num>
  <w:num w:numId="11" w16cid:durableId="483281001">
    <w:abstractNumId w:val="11"/>
  </w:num>
  <w:num w:numId="12" w16cid:durableId="571235882">
    <w:abstractNumId w:val="10"/>
  </w:num>
  <w:num w:numId="13" w16cid:durableId="740441648">
    <w:abstractNumId w:val="1"/>
  </w:num>
  <w:num w:numId="14" w16cid:durableId="10864617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648"/>
    <w:rsid w:val="000E39B4"/>
    <w:rsid w:val="001222F0"/>
    <w:rsid w:val="00153D45"/>
    <w:rsid w:val="00207B26"/>
    <w:rsid w:val="003B6593"/>
    <w:rsid w:val="004248ED"/>
    <w:rsid w:val="004943DD"/>
    <w:rsid w:val="00566F25"/>
    <w:rsid w:val="00570AFC"/>
    <w:rsid w:val="00596E5B"/>
    <w:rsid w:val="005B4207"/>
    <w:rsid w:val="005E7240"/>
    <w:rsid w:val="00600E24"/>
    <w:rsid w:val="00611DF8"/>
    <w:rsid w:val="00636B43"/>
    <w:rsid w:val="00734749"/>
    <w:rsid w:val="008A0578"/>
    <w:rsid w:val="00936648"/>
    <w:rsid w:val="00A41D51"/>
    <w:rsid w:val="00AC3E0F"/>
    <w:rsid w:val="00D30382"/>
    <w:rsid w:val="00DC12C5"/>
    <w:rsid w:val="00EB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5BF9"/>
  <w15:chartTrackingRefBased/>
  <w15:docId w15:val="{611EC58C-1CBE-445E-9166-3DD6E261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B26"/>
    <w:pPr>
      <w:spacing w:after="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link w:val="11"/>
    <w:uiPriority w:val="9"/>
    <w:qFormat/>
    <w:rsid w:val="00596E5B"/>
    <w:pPr>
      <w:spacing w:beforeAutospacing="1" w:afterAutospacing="1" w:line="240" w:lineRule="auto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D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6F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F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96E5B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3">
    <w:name w:val="Normal (Web)"/>
    <w:basedOn w:val="a"/>
    <w:uiPriority w:val="99"/>
    <w:unhideWhenUsed/>
    <w:rsid w:val="004248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E39B4"/>
    <w:pPr>
      <w:ind w:left="720"/>
      <w:contextualSpacing/>
    </w:pPr>
  </w:style>
  <w:style w:type="paragraph" w:styleId="a5">
    <w:name w:val="TOC Heading"/>
    <w:basedOn w:val="10"/>
    <w:next w:val="a"/>
    <w:uiPriority w:val="39"/>
    <w:unhideWhenUsed/>
    <w:qFormat/>
    <w:rsid w:val="003B6593"/>
    <w:pPr>
      <w:keepNext/>
      <w:keepLines/>
      <w:spacing w:before="240" w:beforeAutospacing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3B6593"/>
    <w:pPr>
      <w:spacing w:after="100"/>
    </w:pPr>
  </w:style>
  <w:style w:type="character" w:styleId="a6">
    <w:name w:val="Hyperlink"/>
    <w:basedOn w:val="a0"/>
    <w:uiPriority w:val="99"/>
    <w:unhideWhenUsed/>
    <w:rsid w:val="003B6593"/>
    <w:rPr>
      <w:color w:val="0563C1" w:themeColor="hyperlink"/>
      <w:u w:val="single"/>
    </w:rPr>
  </w:style>
  <w:style w:type="character" w:customStyle="1" w:styleId="noprint">
    <w:name w:val="noprint"/>
    <w:basedOn w:val="a0"/>
    <w:rsid w:val="00636B43"/>
  </w:style>
  <w:style w:type="character" w:styleId="a7">
    <w:name w:val="Emphasis"/>
    <w:basedOn w:val="a0"/>
    <w:uiPriority w:val="20"/>
    <w:qFormat/>
    <w:rsid w:val="00DC12C5"/>
    <w:rPr>
      <w:i/>
      <w:iCs/>
    </w:rPr>
  </w:style>
  <w:style w:type="paragraph" w:customStyle="1" w:styleId="paragraph">
    <w:name w:val="paragraph"/>
    <w:basedOn w:val="a"/>
    <w:rsid w:val="00611D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11D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Strong"/>
    <w:basedOn w:val="a0"/>
    <w:uiPriority w:val="22"/>
    <w:qFormat/>
    <w:rsid w:val="00A41D51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66F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66F2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numbering" w:customStyle="1" w:styleId="1">
    <w:name w:val="Текущий список1"/>
    <w:uiPriority w:val="99"/>
    <w:rsid w:val="00566F25"/>
    <w:pPr>
      <w:numPr>
        <w:numId w:val="14"/>
      </w:numPr>
    </w:pPr>
  </w:style>
  <w:style w:type="character" w:styleId="a9">
    <w:name w:val="Unresolved Mention"/>
    <w:basedOn w:val="a0"/>
    <w:uiPriority w:val="99"/>
    <w:semiHidden/>
    <w:unhideWhenUsed/>
    <w:rsid w:val="00153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.tinkoff.ru/guide/bologna-process/" TargetMode="External"/><Relationship Id="rId13" Type="http://schemas.openxmlformats.org/officeDocument/2006/relationships/hyperlink" Target="https://ru.wikipedia.org/wiki/1999_%D0%B3%D0%BE%D0%B4" TargetMode="External"/><Relationship Id="rId18" Type="http://schemas.openxmlformats.org/officeDocument/2006/relationships/hyperlink" Target="https://ru.wikipedia.org/wiki/%D0%9F%D1%80%D0%B5%D0%BF%D0%BE%D0%B4%D0%B0%D0%B2%D0%B0%D1%82%D0%B5%D0%BB%D1%8C" TargetMode="External"/><Relationship Id="rId26" Type="http://schemas.openxmlformats.org/officeDocument/2006/relationships/hyperlink" Target="https://justarrived.by/ru/page/bolonskii-protsess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1%8B%D1%81%D1%88%D0%B5%D0%B5_%D0%BF%D1%80%D0%BE%D1%84%D0%B5%D1%81%D1%81%D0%B8%D0%BE%D0%BD%D0%B0%D0%BB%D1%8C%D0%BD%D0%BE%D0%B5_%D0%BE%D0%B1%D1%80%D0%B0%D0%B7%D0%BE%D0%B2%D0%B0%D0%BD%D0%B8%D0%B5" TargetMode="External"/><Relationship Id="rId7" Type="http://schemas.openxmlformats.org/officeDocument/2006/relationships/hyperlink" Target="https://journal.tinkoff.ru/guide/bologna-process/" TargetMode="External"/><Relationship Id="rId12" Type="http://schemas.openxmlformats.org/officeDocument/2006/relationships/hyperlink" Target="https://ru.wikipedia.org/wiki/%D0%95%D0%B2%D1%80%D0%BE%D0%BF%D0%B0" TargetMode="External"/><Relationship Id="rId17" Type="http://schemas.openxmlformats.org/officeDocument/2006/relationships/hyperlink" Target="https://ru.wikipedia.org/wiki/%D0%A1%D1%82%D1%83%D0%B4%D0%B5%D0%BD%D1%82" TargetMode="External"/><Relationship Id="rId25" Type="http://schemas.openxmlformats.org/officeDocument/2006/relationships/hyperlink" Target="https://journal.tinkoff.ru/guide/bologna-proces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1%8B%D1%81%D1%88%D0%B5%D0%B5_%D0%BE%D0%B1%D1%80%D0%B0%D0%B7%D0%BE%D0%B2%D0%B0%D0%BD%D0%B8%D0%B5" TargetMode="External"/><Relationship Id="rId20" Type="http://schemas.openxmlformats.org/officeDocument/2006/relationships/hyperlink" Target="https://ru.wikipedia.org/wiki/%D0%A0%D0%BE%D1%81%D1%81%D0%B8%D1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journal.tinkoff.ru/guide/bologna-process/" TargetMode="External"/><Relationship Id="rId11" Type="http://schemas.openxmlformats.org/officeDocument/2006/relationships/hyperlink" Target="https://ru.wikipedia.org/wiki/%D0%9F%D0%B0%D1%80%D0%B8%D0%B6%D1%81%D0%BA%D0%B8%D0%B9_%D1%83%D0%BD%D0%B8%D0%B2%D0%B5%D1%80%D1%81%D0%B8%D1%82%D0%B5%D1%82" TargetMode="External"/><Relationship Id="rId24" Type="http://schemas.openxmlformats.org/officeDocument/2006/relationships/hyperlink" Target="https://ru.wikipedia.org/w/index.php?title=%D0%91%D0%B0%D0%B9%D0%B4%D0%B5%D0%BD%D0%BA%D0%BE,_%D0%92%D0%B0%D0%BB%D0%B5%D0%BD%D1%82%D0%B8%D0%BD_%D0%98%D0%B2%D0%B0%D0%BD%D0%BE%D0%B2%D0%B8%D1%87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u.fsin.gov.ru/territory/Apu/declaration/2/vopros-kredit.pdf" TargetMode="External"/><Relationship Id="rId23" Type="http://schemas.openxmlformats.org/officeDocument/2006/relationships/hyperlink" Target="https://ru.wikipedia.org/w/index.php?title=%D0%90%D0%BD%D1%82%D0%BE%D0%BD%D0%BE%D0%B2%D0%B0,_%D0%9D%D0%B0%D1%82%D0%B0%D0%BB%D1%8C%D1%8F_%D0%92%D0%BB%D0%B0%D0%B4%D0%B8%D0%BC%D0%B8%D1%80%D0%BE%D0%B2%D0%BD%D0%B0&amp;action=edit&amp;redlink=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1998_%D0%B3%D0%BE%D0%B4" TargetMode="External"/><Relationship Id="rId19" Type="http://schemas.openxmlformats.org/officeDocument/2006/relationships/hyperlink" Target="https://ru.wikipedia.org/wiki/%D0%A0%D1%8B%D0%BD%D0%BE%D0%BA_%D1%82%D1%80%D1%83%D0%B4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0%B2%D0%B5%D1%82_%D0%BC%D0%B8%D0%BD%D0%B8%D1%81%D1%82%D1%80%D0%BE%D0%B2_%D0%95%D0%B2%D1%80%D0%BE%D0%BF%D0%B5%D0%B9%D1%81%D0%BA%D0%BE%D0%B3%D0%BE_%D1%81%D0%BE%D1%8E%D0%B7%D0%B0" TargetMode="External"/><Relationship Id="rId14" Type="http://schemas.openxmlformats.org/officeDocument/2006/relationships/hyperlink" Target="http://erasmusplusinrussia.ru/PDF/CommuniqueRome.pdf" TargetMode="External"/><Relationship Id="rId22" Type="http://schemas.openxmlformats.org/officeDocument/2006/relationships/hyperlink" Target="https://ru.wikipedia.org/wiki/%D0%95%D0%B2%D1%80%D0%BE%D0%BF%D0%B5%D0%B9%D1%81%D0%BA%D0%B0%D1%8F_%D0%BA%D0%BE%D0%BC%D0%B8%D1%81%D1%81%D0%B8%D1%8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A9FC2-5B8C-47A7-84CB-1667504D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2603</Words>
  <Characters>14841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макеёнок денис</cp:lastModifiedBy>
  <cp:revision>9</cp:revision>
  <dcterms:created xsi:type="dcterms:W3CDTF">2022-10-25T08:14:00Z</dcterms:created>
  <dcterms:modified xsi:type="dcterms:W3CDTF">2022-10-25T14:10:00Z</dcterms:modified>
</cp:coreProperties>
</file>