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E3B" w:rsidRDefault="005C64F2" w:rsidP="005C64F2">
      <w:pPr>
        <w:jc w:val="center"/>
        <w:rPr>
          <w:sz w:val="28"/>
          <w:szCs w:val="28"/>
          <w:u w:val="single"/>
          <w:rtl/>
        </w:rPr>
      </w:pPr>
      <w:r w:rsidRPr="005C64F2">
        <w:rPr>
          <w:rFonts w:hint="cs"/>
          <w:sz w:val="28"/>
          <w:szCs w:val="28"/>
          <w:u w:val="single"/>
          <w:rtl/>
        </w:rPr>
        <w:t>תכנות מונחה עצמים</w:t>
      </w:r>
    </w:p>
    <w:p w:rsidR="00874C58" w:rsidRPr="00874C58" w:rsidRDefault="005C64F2" w:rsidP="00874C58">
      <w:pPr>
        <w:pStyle w:val="a3"/>
        <w:numPr>
          <w:ilvl w:val="0"/>
          <w:numId w:val="2"/>
        </w:numPr>
        <w:bidi/>
        <w:jc w:val="both"/>
        <w:rPr>
          <w:sz w:val="24"/>
          <w:szCs w:val="24"/>
        </w:rPr>
      </w:pPr>
      <w:r w:rsidRPr="00874C58">
        <w:rPr>
          <w:rFonts w:hint="cs"/>
          <w:b/>
          <w:bCs/>
          <w:sz w:val="24"/>
          <w:szCs w:val="24"/>
          <w:rtl/>
        </w:rPr>
        <w:t>עיקרון הכימוס</w:t>
      </w:r>
      <w:r w:rsidRPr="00874C58">
        <w:rPr>
          <w:rFonts w:hint="cs"/>
          <w:sz w:val="24"/>
          <w:szCs w:val="24"/>
          <w:rtl/>
        </w:rPr>
        <w:t xml:space="preserve"> - </w:t>
      </w:r>
      <w:r w:rsidRPr="00874C58">
        <w:rPr>
          <w:rFonts w:cs="Arial"/>
          <w:sz w:val="24"/>
          <w:szCs w:val="24"/>
          <w:rtl/>
        </w:rPr>
        <w:t xml:space="preserve">על פי עיקרון זה, כל אובייקט מסתיר את המידע ואת אופן פעולתו מהאובייקטים האחרים. לשם כך, כל אובייקט מכיל נתונים שהם ציבוריים </w:t>
      </w:r>
      <w:r w:rsidRPr="00874C58">
        <w:rPr>
          <w:rFonts w:cs="Arial" w:hint="cs"/>
          <w:sz w:val="24"/>
          <w:szCs w:val="24"/>
          <w:rtl/>
        </w:rPr>
        <w:t>(</w:t>
      </w:r>
      <w:r w:rsidRPr="00874C58">
        <w:rPr>
          <w:rFonts w:cs="Arial"/>
          <w:sz w:val="24"/>
          <w:szCs w:val="24"/>
        </w:rPr>
        <w:t>public</w:t>
      </w:r>
      <w:r w:rsidRPr="00874C58">
        <w:rPr>
          <w:rFonts w:cs="Arial" w:hint="cs"/>
          <w:sz w:val="24"/>
          <w:szCs w:val="24"/>
          <w:rtl/>
        </w:rPr>
        <w:t>)</w:t>
      </w:r>
      <w:r w:rsidRPr="00874C58">
        <w:rPr>
          <w:rFonts w:cs="Arial"/>
          <w:sz w:val="24"/>
          <w:szCs w:val="24"/>
        </w:rPr>
        <w:t xml:space="preserve"> </w:t>
      </w:r>
      <w:r w:rsidRPr="00874C58">
        <w:rPr>
          <w:rFonts w:cs="Arial"/>
          <w:sz w:val="24"/>
          <w:szCs w:val="24"/>
          <w:rtl/>
        </w:rPr>
        <w:t>ופרטיים</w:t>
      </w:r>
      <w:r w:rsidRPr="00874C58">
        <w:rPr>
          <w:rFonts w:cs="Arial"/>
          <w:sz w:val="24"/>
          <w:szCs w:val="24"/>
        </w:rPr>
        <w:t xml:space="preserve"> (private) </w:t>
      </w:r>
      <w:r w:rsidRPr="00874C58">
        <w:rPr>
          <w:rFonts w:cs="Arial"/>
          <w:sz w:val="24"/>
          <w:szCs w:val="24"/>
          <w:rtl/>
        </w:rPr>
        <w:t>קיימים עוד מצבי ביניים</w:t>
      </w:r>
      <w:r w:rsidRPr="00874C58">
        <w:rPr>
          <w:rFonts w:cs="Arial" w:hint="cs"/>
          <w:sz w:val="24"/>
          <w:szCs w:val="24"/>
          <w:rtl/>
        </w:rPr>
        <w:t xml:space="preserve">. </w:t>
      </w:r>
    </w:p>
    <w:p w:rsidR="00874C58" w:rsidRPr="00874C58" w:rsidRDefault="00874C58" w:rsidP="00874C58">
      <w:pPr>
        <w:pStyle w:val="a3"/>
        <w:bidi/>
        <w:jc w:val="both"/>
        <w:rPr>
          <w:sz w:val="24"/>
          <w:szCs w:val="24"/>
        </w:rPr>
      </w:pPr>
    </w:p>
    <w:p w:rsidR="00874C58" w:rsidRPr="00874C58" w:rsidRDefault="00E7078A" w:rsidP="00874C58">
      <w:pPr>
        <w:pStyle w:val="a3"/>
        <w:numPr>
          <w:ilvl w:val="0"/>
          <w:numId w:val="2"/>
        </w:numPr>
        <w:bidi/>
        <w:jc w:val="both"/>
        <w:rPr>
          <w:sz w:val="24"/>
          <w:szCs w:val="24"/>
        </w:rPr>
      </w:pPr>
      <w:r w:rsidRPr="00874C58">
        <w:rPr>
          <w:rFonts w:cs="Arial"/>
          <w:sz w:val="24"/>
          <w:szCs w:val="24"/>
          <w:rtl/>
        </w:rPr>
        <w:t>מחלקות אבסטרקטיות הינן מחלקות שלא ניתן לייצר מהן אובייקטים והן משמשות כבסיס לגזירה בלבד.</w:t>
      </w:r>
      <w:r w:rsidRPr="00874C58">
        <w:rPr>
          <w:rFonts w:cs="Arial" w:hint="cs"/>
          <w:sz w:val="24"/>
          <w:szCs w:val="24"/>
          <w:rtl/>
        </w:rPr>
        <w:t xml:space="preserve"> </w:t>
      </w:r>
      <w:r w:rsidRPr="00874C58">
        <w:rPr>
          <w:rFonts w:cs="Arial"/>
          <w:sz w:val="24"/>
          <w:szCs w:val="24"/>
          <w:rtl/>
        </w:rPr>
        <w:t>במקרים בהם יש צורך להגדיר מחלקות בסיס לאובייקטים ממשיים ניתן להגדירם כמחלקות אבסטרקטיות.</w:t>
      </w:r>
      <w:r w:rsidRPr="00874C58">
        <w:rPr>
          <w:rFonts w:cs="Arial" w:hint="cs"/>
          <w:sz w:val="24"/>
          <w:szCs w:val="24"/>
          <w:rtl/>
        </w:rPr>
        <w:t xml:space="preserve"> לעומת </w:t>
      </w:r>
      <w:r w:rsidR="00874C58" w:rsidRPr="00874C58">
        <w:rPr>
          <w:rFonts w:cs="Arial" w:hint="cs"/>
          <w:sz w:val="24"/>
          <w:szCs w:val="24"/>
          <w:rtl/>
        </w:rPr>
        <w:t>מחלקות שניתן ליצור להם מופעים ואין פונקציות שאינן ממומשות.</w:t>
      </w:r>
    </w:p>
    <w:p w:rsidR="00874C58" w:rsidRPr="00874C58" w:rsidRDefault="00874C58" w:rsidP="00874C58">
      <w:pPr>
        <w:pStyle w:val="a3"/>
        <w:rPr>
          <w:rFonts w:hint="cs"/>
          <w:sz w:val="24"/>
          <w:szCs w:val="24"/>
          <w:rtl/>
        </w:rPr>
      </w:pPr>
    </w:p>
    <w:p w:rsidR="00770D42" w:rsidRDefault="00874C58" w:rsidP="00770D42">
      <w:pPr>
        <w:pStyle w:val="a3"/>
        <w:numPr>
          <w:ilvl w:val="0"/>
          <w:numId w:val="2"/>
        </w:numPr>
        <w:bidi/>
        <w:jc w:val="both"/>
        <w:rPr>
          <w:sz w:val="24"/>
          <w:szCs w:val="24"/>
        </w:rPr>
      </w:pPr>
      <w:r>
        <w:rPr>
          <w:rFonts w:hint="cs"/>
          <w:sz w:val="24"/>
          <w:szCs w:val="24"/>
          <w:rtl/>
        </w:rPr>
        <w:t>במחלקה סטט</w:t>
      </w:r>
      <w:r w:rsidR="00770D42">
        <w:rPr>
          <w:rFonts w:hint="cs"/>
          <w:sz w:val="24"/>
          <w:szCs w:val="24"/>
          <w:rtl/>
        </w:rPr>
        <w:t xml:space="preserve">ית בשונה ממחלקה, כל מה שנמצא במחלקה חייב להיות </w:t>
      </w:r>
      <w:r w:rsidR="00770D42">
        <w:rPr>
          <w:sz w:val="24"/>
          <w:szCs w:val="24"/>
        </w:rPr>
        <w:t>static</w:t>
      </w:r>
      <w:r w:rsidR="00770D42">
        <w:rPr>
          <w:rFonts w:hint="cs"/>
          <w:sz w:val="24"/>
          <w:szCs w:val="24"/>
          <w:rtl/>
        </w:rPr>
        <w:t xml:space="preserve"> (משתנים, פונקציות, מאפיינים...), לא ניתן ליצור מופעים (אובייקט) מהמחלקה, לא ניתן לרשת מהמחלקה והמחלקה הסטטית לא יכולה לרשת ממחלקה אחרת (אין את עיקרון הירושה). משתמשים במחלקה סטטית בעיקר ליצירת מחלקות עזר שיכילו פונקציות שירות. הגישה לפונקציות מתוך המחלקה הסטטית היא ישירות דרך שם המחלקה לעומת מחלקה רגילה שיוצרים מופעים שלה ועליהם מופעלים הפונקציות. </w:t>
      </w:r>
    </w:p>
    <w:p w:rsidR="00770D42" w:rsidRPr="00770D42" w:rsidRDefault="00770D42" w:rsidP="00770D42">
      <w:pPr>
        <w:pStyle w:val="a3"/>
        <w:rPr>
          <w:rFonts w:hint="cs"/>
          <w:sz w:val="24"/>
          <w:szCs w:val="24"/>
          <w:rtl/>
        </w:rPr>
      </w:pPr>
    </w:p>
    <w:p w:rsidR="00770D42" w:rsidRDefault="00044976" w:rsidP="00770D42">
      <w:pPr>
        <w:pStyle w:val="a3"/>
        <w:numPr>
          <w:ilvl w:val="0"/>
          <w:numId w:val="2"/>
        </w:numPr>
        <w:bidi/>
        <w:jc w:val="both"/>
        <w:rPr>
          <w:sz w:val="24"/>
          <w:szCs w:val="24"/>
        </w:rPr>
      </w:pPr>
      <w:r>
        <w:rPr>
          <w:rFonts w:hint="cs"/>
          <w:sz w:val="24"/>
          <w:szCs w:val="24"/>
          <w:rtl/>
        </w:rPr>
        <w:t xml:space="preserve">כל מי שתחת אותו פרויקט / אותו </w:t>
      </w:r>
      <w:r>
        <w:rPr>
          <w:sz w:val="24"/>
          <w:szCs w:val="24"/>
        </w:rPr>
        <w:t>namespace</w:t>
      </w:r>
      <w:r>
        <w:rPr>
          <w:rFonts w:hint="cs"/>
          <w:sz w:val="24"/>
          <w:szCs w:val="24"/>
          <w:rtl/>
        </w:rPr>
        <w:t xml:space="preserve"> יכול לגשת ל</w:t>
      </w:r>
      <w:r>
        <w:rPr>
          <w:sz w:val="24"/>
          <w:szCs w:val="24"/>
        </w:rPr>
        <w:t xml:space="preserve">members </w:t>
      </w:r>
      <w:r>
        <w:rPr>
          <w:rFonts w:hint="cs"/>
          <w:sz w:val="24"/>
          <w:szCs w:val="24"/>
          <w:rtl/>
        </w:rPr>
        <w:t xml:space="preserve"> בעלי </w:t>
      </w:r>
      <w:r>
        <w:rPr>
          <w:sz w:val="24"/>
          <w:szCs w:val="24"/>
        </w:rPr>
        <w:t>access modifier</w:t>
      </w:r>
      <w:r>
        <w:rPr>
          <w:rFonts w:hint="cs"/>
          <w:sz w:val="24"/>
          <w:szCs w:val="24"/>
          <w:rtl/>
        </w:rPr>
        <w:t xml:space="preserve"> של </w:t>
      </w:r>
      <w:r>
        <w:rPr>
          <w:sz w:val="24"/>
          <w:szCs w:val="24"/>
        </w:rPr>
        <w:t>internal</w:t>
      </w:r>
      <w:r>
        <w:rPr>
          <w:rFonts w:hint="cs"/>
          <w:sz w:val="24"/>
          <w:szCs w:val="24"/>
          <w:rtl/>
        </w:rPr>
        <w:t>.</w:t>
      </w:r>
    </w:p>
    <w:p w:rsidR="00044976" w:rsidRPr="00044976" w:rsidRDefault="00044976" w:rsidP="00044976">
      <w:pPr>
        <w:pStyle w:val="a3"/>
        <w:rPr>
          <w:rFonts w:hint="cs"/>
          <w:sz w:val="24"/>
          <w:szCs w:val="24"/>
          <w:rtl/>
        </w:rPr>
      </w:pPr>
    </w:p>
    <w:p w:rsidR="00044976" w:rsidRPr="00770D42" w:rsidRDefault="00044976" w:rsidP="00044976">
      <w:pPr>
        <w:pStyle w:val="a3"/>
        <w:bidi/>
        <w:jc w:val="both"/>
        <w:rPr>
          <w:rFonts w:hint="cs"/>
          <w:sz w:val="24"/>
          <w:szCs w:val="24"/>
          <w:rtl/>
        </w:rPr>
      </w:pPr>
      <w:bookmarkStart w:id="0" w:name="_GoBack"/>
      <w:bookmarkEnd w:id="0"/>
    </w:p>
    <w:p w:rsidR="005C64F2" w:rsidRDefault="005C64F2" w:rsidP="005C64F2">
      <w:pPr>
        <w:jc w:val="center"/>
        <w:rPr>
          <w:sz w:val="28"/>
          <w:szCs w:val="28"/>
          <w:u w:val="single"/>
          <w:rtl/>
        </w:rPr>
      </w:pPr>
    </w:p>
    <w:p w:rsidR="005C64F2" w:rsidRPr="005C64F2" w:rsidRDefault="005C64F2" w:rsidP="005C64F2">
      <w:pPr>
        <w:jc w:val="center"/>
        <w:rPr>
          <w:rFonts w:hint="cs"/>
          <w:sz w:val="28"/>
          <w:szCs w:val="28"/>
          <w:u w:val="single"/>
          <w:rtl/>
        </w:rPr>
      </w:pPr>
    </w:p>
    <w:sectPr w:rsidR="005C64F2" w:rsidRPr="005C64F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803F8"/>
    <w:multiLevelType w:val="hybridMultilevel"/>
    <w:tmpl w:val="E83A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374E10"/>
    <w:multiLevelType w:val="hybridMultilevel"/>
    <w:tmpl w:val="A2C025DA"/>
    <w:lvl w:ilvl="0" w:tplc="14208A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4F2"/>
    <w:rsid w:val="00044976"/>
    <w:rsid w:val="005C64F2"/>
    <w:rsid w:val="00770D42"/>
    <w:rsid w:val="00874C58"/>
    <w:rsid w:val="009F4E3B"/>
    <w:rsid w:val="00E7078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FE367"/>
  <w15:chartTrackingRefBased/>
  <w15:docId w15:val="{4666C5B0-DF1B-4B29-9283-9BE1583F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C6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180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144</Words>
  <Characters>824</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מוריה חתוכה</dc:creator>
  <cp:keywords/>
  <dc:description/>
  <cp:lastModifiedBy>מוריה חתוכה</cp:lastModifiedBy>
  <cp:revision>1</cp:revision>
  <dcterms:created xsi:type="dcterms:W3CDTF">2024-05-06T13:07:00Z</dcterms:created>
  <dcterms:modified xsi:type="dcterms:W3CDTF">2024-05-06T14:51:00Z</dcterms:modified>
</cp:coreProperties>
</file>