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标本算法</w:t>
      </w:r>
    </w:p>
    <w:p>
      <w:r>
        <w:t>定义与步骤。</w:t>
      </w:r>
    </w:p>
    <w:p>
      <w:pPr>
        <w:pStyle w:val="Heading2"/>
      </w:pPr>
      <w:r>
        <w:t>结果</w:t>
      </w:r>
    </w:p>
    <w:p>
      <w:r>
        <w:t>结果说明。</w:t>
      </w:r>
      <w:r>
        <w:drawing>
          <a:blip xmlns:a="http://schemas.openxmlformats.org/drawingml/2006/main" r:embed="rId1"/>
        </w:drawing>
      </w:r>
    </w:p>
    <w:p>
      <w:pPr>
        <w:pStyle w:val="Heading1"/>
      </w:pPr>
      <w:r>
        <w:t>致谢</w:t>
      </w:r>
    </w:p>
    <w:p>
      <w:r>
        <w:t>感谢。</w:t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png"/></Relationships>
</file>