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работа: визуализация данных с использованием Plotly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Курс «Большие данные», папка task_5_Visual_analysis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Чикишев С. М., группа АПИб-23-1</w:t>
      </w:r>
    </w:p>
    <w:p>
      <w:pPr>
        <w:pBdr>
          <w:bottom w:val="single" w:color="444444" w:sz="8" w:space="1"/>
        </w:pBdr>
        <w:spacing w:after="200" w:before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Цель работы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Освоить построение интерактивных визуализаций в библиотеке Plotly и с их помощью проверить гипотезы об активности студентов на образовательном портале по данным логов.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Исходные данные и инструменты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Python, Jupyter Notebook (файл Visualization_logs.ipynb), библиотеки pandas, numpy, plotly.express и plotly.graph_objects.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Набор aggrigation_logs_per_week.csv: недельные логи студентов по курсам за весенний семестр (414 528 строк, 6 316 студентов, 893 курса, 43 кафедры, недели 6–29).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Справочник кафедр departments.csv (код кафедры и сокращенное название).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Ход выполнения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Подготовка.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Подключены библиотеки, набор данных загружен функцией pd.read_csv, структура и типы столбцов проверены методом df.info().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Предобработка (задание 1).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Вещественные столбцы со средними значениями (*_avg) были записаны с запятой. Запятая заменена на точку, столбцы приведены к типу float в одном цикле.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Изучение примеров.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Разобраны готовые примеры из ноутбука: столбчатая и точечная диаграммы по семестрам и анимированный график area по неделям. Они послужили образцом для дальнейших заданий.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Построение графиков (задания 2–8).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задания сначала данные агрегировались средствами pandas (groupby, nunique, mean), затем строился график Plotly с подписями осей и шаблоном plotly_white. Гипотеза проверялась по числам: средним, медианам и коэффициентам корреляции. Что именно сделано в каждом задании, показано в таблице ниже. Основа обучения принята как 1 — бюджет, 2 — контракт.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каждого задания в ячейках «Ваш ответ» записан вывод о том, подтверждается ли гипотеза.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Завершение.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Ноутбук выполнен целиком сверху вниз и сохранен вместе с графиками. Графики строились по агрегированным данным, поэтому файл получился небольшим. Готовый ноутбук размещен в репозитории GitHub в папке task_5_Visual_analysis.</w:t>
      </w:r>
    </w:p>
    <w:p>
      <w:pPr>
        <w:spacing w:after="120"/>
      </w:pPr>
    </w:p>
    <w:p>
      <w:pPr>
        <w:keepNext/>
        <w:spacing w:after="120" w:line="28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Выполненные задания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3955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сделано</w:t>
            </w:r>
          </w:p>
        </w:tc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Вывод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 обучения (бюджет и контракт). Для каждой пары «студент – курс» взято итоговое среднее за семестр. Построены ящики с усами (px.box) по показателям s_all_avg, s_course_viewed_avg, s_q_attempt_viewed_avg.</w:t>
            </w:r>
          </w:p>
        </w:tc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Гипотеза подтверждается частично: средняя активность контрактников ниже (10,04 против 11,68 событий в неделю), но медианы близки.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Динамика по неделям. Среднее s_all по неделям для каждого курса, линейный график (px.line), все курсы на одной диаграмме. Добавлены общая линия и отметка недели экзамена.</w:t>
            </w:r>
          </w:p>
        </w:tc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Подтверждается: в недели 20–25 активность около 19,8 против около 10 в начале семестра, после экзаменов резко падает.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Динамика по успеваемости. Линейный график, отдельные линии для оценок 5, 4, 3 и 2 (NameR_Level).</w:t>
            </w:r>
          </w:p>
        </w:tc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Подтверждается: чем выше оценка, тем выше активность (в среднем 14,5 / 11,3 / 7,5 / 4,5 события в неделю). Слабые студенты активизируются в основном перед экзаменом.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Бакалавры и магистры. Коды LevelEd заменены названиями, рассчитаны средние s_course_viewed, s_q_attempt_viewed, s_a_submission_status_viewed, построена воронка go.Funnel.</w:t>
            </w:r>
          </w:p>
        </w:tc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Различия небольшие: магистры реже отправляют задания (60% от просмотров курса против 65% у бакалавров).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Воронка активности по успеваемости. Те же три показателя для отличников, хорошистов, троечников и двоечников.</w:t>
            </w:r>
          </w:p>
        </w:tc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Подтверждается: чем выше оценка, тем активнее студент на каждом этапе. Разрыв растет к тестам и заданиям (в 2,9 раза по просмотрам курса и в 4,5 раза по тестам).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Студенты по кафедрам. Число уникальных студентов по коду кафедры, названия из departments.csv, горизонтальная диаграмма px.bar с цветовой шкалой и подписями значений.</w:t>
            </w:r>
          </w:p>
        </w:tc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Распределение неравномерное: от 5 (УСиБА) до 362 (ДиСО) студентов.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 балл и размер кафедры. Данные сведены к парам «студент – курс», по кафедрам посчитаны число студентов и средний балл. Диаграмма рассеяния px.scatter (size = num_students), линия тренда, корреляции.</w:t>
            </w:r>
          </w:p>
        </w:tc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Слабая отрицательная зависимость (коэффициент Пирсона –0,35): чем больше студентов на кафедре, тем в среднем ниже балл.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Результат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Выполнены задания 1–8: данные подготовлены, построены интерактивные графики разных типов (ящики с усами, линейные графики, воронки, столбчатая диаграмма, диаграмма рассеяния), для каждой гипотезы сформулирован вывод на основе расчетов.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Чикишев С.М.</dc:creator>
  <cp:lastModifiedBy>Un-named</cp:lastModifiedBy>
  <cp:revision>1</cp:revision>
  <dcterms:created xsi:type="dcterms:W3CDTF">2026-10-07T07:38:25.674Z</dcterms:created>
  <dcterms:modified xsi:type="dcterms:W3CDTF">2026-10-07T07:38:25.674Z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