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ACT-2026-001-07</w:t>
      </w:r>
    </w:p>
    <w:p>
      <w:pPr>
        <w:jc w:val="center"/>
      </w:pPr>
      <w:r>
        <w:t xml:space="preserve">до договору № FW-DEV-2026-001 від 01.06.2026 та заявки № REQ-2026-001-07</w:t>
      </w:r>
    </w:p>
    <w:p>
      <w:r>
        <w:t xml:space="preserve">Дата акта: 31.07.2026</w:t>
      </w:r>
    </w:p>
    <w:p>
      <w:r>
        <w:t xml:space="preserve">ТОВ «Софт Лаб Україна» в особі Кравченко Анна Сергіївна та фізична особа Іваненко Олег Петрович склали цей Акт про те, що Виконавець надав, а Замовник прийняв послуги за період 01.07.2026 - 31.07.2026.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 xml:space="preserve">REQ-2026-001-07</w:t>
            </w:r>
          </w:p>
        </w:tc>
        <w:tc>
          <w:tcPr>
            <w:tcW w:type="dxa" w:w="2160"/>
          </w:tcPr>
          <w:p>
            <w:r>
              <w:t xml:space="preserve">підключено інтеграційні endpoints, додано retry-логіку та моніторинг помилок</w:t>
            </w:r>
          </w:p>
        </w:tc>
        <w:tc>
          <w:tcPr>
            <w:tcW w:type="dxa" w:w="2160"/>
          </w:tcPr>
          <w:p>
            <w:r>
              <w:t xml:space="preserve">інтеграційні сценарії погоджено Замовником, smoke-тести проходять</w:t>
            </w:r>
          </w:p>
        </w:tc>
        <w:tc>
          <w:tcPr>
            <w:tcW w:type="dxa" w:w="2160"/>
          </w:tcPr>
          <w:p>
            <w:r>
              <w:t xml:space="preserve">95000 грн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 xml:space="preserve">Вартість послуг до утримання податків і зборів: 95000 грн. ПДФО: 17100 грн; військовий збір: 4750 грн; сума до виплати Виконавцю: 73150 грн. ЄСВ нараховується Замовником додатково у сумі 20900 грн.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