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АКТ ПРИЙМАННЯ-ПЕРЕДАЧІ НАДАНИХ ПОСЛУГ № ACT-2026-002-06</w:t>
      </w:r>
    </w:p>
    <w:p>
      <w:pPr>
        <w:jc w:val="center"/>
      </w:pPr>
      <w:r>
        <w:t xml:space="preserve">до договору № FW-DEV-2026-002 від 01.06.2026 та заявки № REQ-2026-002-06</w:t>
      </w:r>
    </w:p>
    <w:p>
      <w:r>
        <w:t xml:space="preserve">Дата акта: 30.06.2026</w:t>
      </w:r>
    </w:p>
    <w:p>
      <w:r>
        <w:t xml:space="preserve">ТОВ «Софт Лаб Україна» в особі Кравченко Анна Сергіївна та фізична особа Петренко Марія Андріївна склали цей Акт про те, що Виконавець надав, а Замовник прийняв послуги за період 01.06.2026 - 30.06.2026.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Заявка</w:t>
            </w:r>
          </w:p>
        </w:tc>
        <w:tc>
          <w:tcPr>
            <w:tcW w:type="dxa" w:w="2160"/>
          </w:tcPr>
          <w:p>
            <w:r>
              <w:t>Опис/результат</w:t>
            </w:r>
          </w:p>
        </w:tc>
        <w:tc>
          <w:tcPr>
            <w:tcW w:type="dxa" w:w="2160"/>
          </w:tcPr>
          <w:p>
            <w:r>
              <w:t>Критерії</w:t>
            </w:r>
          </w:p>
        </w:tc>
        <w:tc>
          <w:tcPr>
            <w:tcW w:type="dxa" w:w="2160"/>
          </w:tcPr>
          <w:p>
            <w:r>
              <w:t>Сума</w:t>
            </w:r>
          </w:p>
        </w:tc>
      </w:tr>
      <w:tr>
        <w:tc>
          <w:tcPr>
            <w:tcW w:type="dxa" w:w="2160"/>
          </w:tcPr>
          <w:p>
            <w:r>
              <w:t xml:space="preserve">REQ-2026-002-06</w:t>
            </w:r>
          </w:p>
        </w:tc>
        <w:tc>
          <w:tcPr>
            <w:tcW w:type="dxa" w:w="2160"/>
          </w:tcPr>
          <w:p>
            <w:r>
              <w:t xml:space="preserve">реалізовано React-компоненти, валідацію форм та адаптивну верстку</w:t>
            </w:r>
          </w:p>
        </w:tc>
        <w:tc>
          <w:tcPr>
            <w:tcW w:type="dxa" w:w="2160"/>
          </w:tcPr>
          <w:p>
            <w:r>
              <w:t xml:space="preserve">макети відтворені відповідно до дизайн-системи, дефекти рівня blocker відсутні</w:t>
            </w:r>
          </w:p>
        </w:tc>
        <w:tc>
          <w:tcPr>
            <w:tcW w:type="dxa" w:w="2160"/>
          </w:tcPr>
          <w:p>
            <w:r>
              <w:t xml:space="preserve">78000.50 грн</w:t>
            </w:r>
          </w:p>
        </w:tc>
      </w:tr>
    </w:tbl>
    <w:p>
      <w:r>
        <w:t>Сторони підтверджують, що послуги надані в повному обсязі відповідно до Договору та Заявки, претензії щодо обсягу, строків та якості послуг відсутні.</w:t>
      </w:r>
    </w:p>
    <w:p>
      <w:r>
        <w:t xml:space="preserve">Вартість послуг до утримання податків і зборів: 78000.50 грн. ПДФО: 14040.09 грн; військовий збір: 3900.03 грн; сума до виплати Виконавцю: 60060.38 грн. ЄСВ нараховується Замовником додатково у сумі 17160.11 грн.</w:t>
      </w:r>
    </w:p>
    <w:p>
      <w:r>
        <w:t>Майнові права інтелектуальної власності на результати послуг, зазначені в цьому Акті, переходять до Замовника відповідно до умов Договору після підписання цього Акта та повної оплати.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