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20"/>
        </w:rPr>
        <w:t>株式会社エイト</w:t>
      </w:r>
    </w:p>
    <w:p>
      <w:pPr>
        <w:jc w:val="center"/>
      </w:pPr>
      <w:r>
        <w:rPr>
          <w:rFonts w:ascii="Yu Gothic" w:hAnsi="Yu Gothic" w:eastAsia="Yu Gothic"/>
          <w:b/>
          <w:sz w:val="36"/>
        </w:rPr>
        <w:t>個人情報の取扱い</w:t>
      </w:r>
    </w:p>
    <w:p>
      <w:pPr>
        <w:jc w:val="center"/>
      </w:pPr>
      <w:r>
        <w:rPr>
          <w:rFonts w:ascii="Yu Gothic" w:hAnsi="Yu Gothic" w:eastAsia="Yu Gothic"/>
          <w:sz w:val="19"/>
        </w:rPr>
        <w:t>従業員の個人情報の利用目的・提供等に関する確認</w:t>
      </w:r>
    </w:p>
    <w:p/>
    <w:tbl>
      <w:tblPr>
        <w:tblW w:type="auto" w:w="0"/>
        <w:jc w:val="center"/>
        <w:tblLayout w:type="autofit"/>
        <w:tblLook w:firstColumn="1" w:firstRow="1" w:lastColumn="0" w:lastRow="0" w:noHBand="0" w:noVBand="1" w:val="04A0"/>
      </w:tblPr>
      <w:tblGrid>
        <w:gridCol w:w="9972"/>
      </w:tblGrid>
      <w:tr>
        <w:tc>
          <w:tcPr>
            <w:tcW w:type="dxa" w:w="9972"/>
            <w:shd w:fill="F3F6FA"/>
            <w:tcMar>
              <w:top w:w="140" w:type="dxa"/>
              <w:start w:w="180" w:type="dxa"/>
              <w:bottom w:w="140" w:type="dxa"/>
              <w:end w:w="180" w:type="dxa"/>
            </w:tcMar>
            <w:vAlign w:val="center"/>
          </w:tcPr>
          <w:p>
            <w:pPr>
              <w:spacing w:after="0"/>
            </w:pPr>
            <w:r>
              <w:rPr>
                <w:b/>
                <w:sz w:val="20"/>
              </w:rPr>
              <w:t>入社・雇用管理に必要な範囲で個人情報をお預かりし、適切に管理します。</w:t>
            </w:r>
          </w:p>
        </w:tc>
      </w:tr>
    </w:tbl>
    <w:p/>
    <w:p>
      <w:pPr>
        <w:spacing w:after="160"/>
      </w:pPr>
      <w:r>
        <w:t>株式会社エイトは、入社手続き等で取得した従業員の個人情報を、主に次の目的で利用します。</w:t>
      </w:r>
    </w:p>
    <w:p>
      <w:pPr>
        <w:spacing w:after="140"/>
        <w:ind w:left="283" w:hanging="170"/>
      </w:pPr>
      <w:r>
        <w:rPr>
          <w:sz w:val="21"/>
        </w:rPr>
        <w:t>・採用、入社、配置、異動、評価、教育・育成その他の人事・雇用管理</w:t>
      </w:r>
    </w:p>
    <w:p>
      <w:pPr>
        <w:spacing w:after="140"/>
        <w:ind w:left="283" w:hanging="170"/>
      </w:pPr>
      <w:r>
        <w:rPr>
          <w:sz w:val="21"/>
        </w:rPr>
        <w:t>・勤怠、労働時間、休暇その他の勤務管理</w:t>
      </w:r>
    </w:p>
    <w:p>
      <w:pPr>
        <w:spacing w:after="140"/>
        <w:ind w:left="283" w:hanging="170"/>
      </w:pPr>
      <w:r>
        <w:rPr>
          <w:sz w:val="21"/>
        </w:rPr>
        <w:t>・給与・賞与の支払い、年末調整、源泉徴収その他の給与・税務手続き</w:t>
      </w:r>
    </w:p>
    <w:p>
      <w:pPr>
        <w:spacing w:after="140"/>
        <w:ind w:left="283" w:hanging="170"/>
      </w:pPr>
      <w:r>
        <w:rPr>
          <w:sz w:val="21"/>
        </w:rPr>
        <w:t>・社会保険・雇用保険その他の法令上必要な手続き</w:t>
      </w:r>
    </w:p>
    <w:p>
      <w:pPr>
        <w:spacing w:after="140"/>
        <w:ind w:left="283" w:hanging="170"/>
      </w:pPr>
      <w:r>
        <w:rPr>
          <w:sz w:val="21"/>
        </w:rPr>
        <w:t>・福利厚生、健康管理、安全管理、社内システム等の利用管理</w:t>
      </w:r>
    </w:p>
    <w:p>
      <w:pPr>
        <w:spacing w:after="140"/>
        <w:ind w:left="283" w:hanging="170"/>
      </w:pPr>
      <w:r>
        <w:rPr>
          <w:sz w:val="21"/>
        </w:rPr>
        <w:t>・業務上必要な連絡、業務分担、記録・報告等の業務管理</w:t>
      </w:r>
    </w:p>
    <w:p>
      <w:pPr>
        <w:spacing w:before="60" w:after="80"/>
      </w:pPr>
      <w:r>
        <w:rPr>
          <w:b/>
          <w:sz w:val="22"/>
        </w:rPr>
        <w:t>第三者への提供等</w:t>
      </w:r>
    </w:p>
    <w:p>
      <w:pPr>
        <w:spacing w:after="120"/>
      </w:pPr>
      <w:r>
        <w:t>社会保険・労務・税務その他の手続きを行うため、必要な範囲で社会保険労務士、行政機関、健康保険関係機関、金融機関その他手続きに必要な関係先へ個人情報を提供する場合があります。</w:t>
      </w:r>
    </w:p>
    <w:p>
      <w:r>
        <w:t>会社は、取得した個人情報を適切に管理し、法令または本人の同意に基づく場合を除き、利用目的の達成に必要な範囲を超えて取り扱いません。</w:t>
      </w:r>
    </w:p>
    <w:p/>
    <w:tbl>
      <w:tblPr>
        <w:tblW w:type="auto" w:w="0"/>
        <w:jc w:val="center"/>
        <w:tblLook w:firstColumn="1" w:firstRow="1" w:lastColumn="0" w:lastRow="0" w:noHBand="0" w:noVBand="1" w:val="04A0"/>
      </w:tblPr>
      <w:tblGrid>
        <w:gridCol w:w="9972"/>
      </w:tblGrid>
      <w:tr>
        <w:tc>
          <w:tcPr>
            <w:tcW w:type="dxa" w:w="9972"/>
            <w:shd w:fill="F7F9FC"/>
            <w:tcMar>
              <w:top w:w="150" w:type="dxa"/>
              <w:start w:w="180" w:type="dxa"/>
              <w:bottom w:w="150" w:type="dxa"/>
              <w:end w:w="180" w:type="dxa"/>
            </w:tcMar>
          </w:tcPr>
          <w:p>
            <w:pPr>
              <w:spacing w:before="60" w:after="80"/>
            </w:pPr>
            <w:r>
              <w:rPr>
                <w:b/>
                <w:sz w:val="22"/>
              </w:rPr>
              <w:t xml:space="preserve">電子確認について</w:t>
            </w:r>
          </w:p>
          <w:p>
            <w:pPr>
              <w:spacing w:after="0"/>
            </w:pPr>
            <w:r>
              <w:rPr>
                <w:b/>
                <w:sz w:val="21"/>
              </w:rPr>
              <w:t xml:space="preserve">本書の内容を確認のうえ、社内システム上の「読みました。内容に同意します」にチェックすることで、本書の内容への確認・同意を行います。確認・同意した日時および対象文書のバージョンは会社のシステムに記録されます。</w:t>
            </w:r>
          </w:p>
        </w:tc>
      </w:tr>
    </w:tbl>
    <w:p>
      <w:pPr>
        <w:spacing w:before="160"/>
      </w:pPr>
      <w:r>
        <w:rPr>
          <w:i/>
          <w:sz w:val="17"/>
        </w:rPr>
        <w:t>※個人情報のより詳細な取扱い、開示等の請求、相談窓口等は、会社が定める個人情報保護に関する規程・通知に従います。</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