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20"/>
        </w:rPr>
        <w:t>株式会社エイト</w:t>
      </w:r>
    </w:p>
    <w:p>
      <w:pPr>
        <w:jc w:val="center"/>
      </w:pPr>
      <w:r>
        <w:rPr>
          <w:rFonts w:ascii="Yu Gothic" w:hAnsi="Yu Gothic" w:eastAsia="Yu Gothic"/>
          <w:b/>
          <w:sz w:val="36"/>
        </w:rPr>
        <w:t>社内ルール確認書</w:t>
      </w:r>
    </w:p>
    <w:p>
      <w:pPr>
        <w:jc w:val="center"/>
      </w:pPr>
      <w:r>
        <w:rPr>
          <w:rFonts w:ascii="Yu Gothic" w:hAnsi="Yu Gothic" w:eastAsia="Yu Gothic"/>
          <w:sz w:val="19"/>
        </w:rPr>
        <w:t>就業規則・情報の取扱い等に関する確認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社内ルールは、安全かつ円滑に働くための共通ルールです。</w:t>
            </w:r>
          </w:p>
        </w:tc>
      </w:tr>
    </w:tbl>
    <w:p/>
    <w:p>
      <w:pPr>
        <w:spacing w:after="160"/>
      </w:pPr>
      <w:r>
        <w:t>私は、株式会社エイトで働くにあたり、会社が定める以下のルールを確認し、これに従って業務を行います。</w:t>
      </w:r>
    </w:p>
    <w:p>
      <w:pPr>
        <w:spacing w:after="140"/>
        <w:ind w:left="283" w:hanging="170"/>
      </w:pPr>
      <w:r>
        <w:rPr>
          <w:sz w:val="21"/>
        </w:rPr>
        <w:t>・就業規則および雇用・勤務に関するルール</w:t>
      </w:r>
    </w:p>
    <w:p>
      <w:pPr>
        <w:spacing w:after="140"/>
        <w:ind w:left="283" w:hanging="170"/>
      </w:pPr>
      <w:r>
        <w:rPr>
          <w:sz w:val="21"/>
        </w:rPr>
        <w:t>・情報セキュリティ、機密情報および個人情報の取扱いルール</w:t>
      </w:r>
    </w:p>
    <w:p>
      <w:pPr>
        <w:spacing w:after="140"/>
        <w:ind w:left="283" w:hanging="170"/>
      </w:pPr>
      <w:r>
        <w:rPr>
          <w:sz w:val="21"/>
        </w:rPr>
        <w:t>・会社貸与のPC・スマートフォン・アカウント等の利用ルール</w:t>
      </w:r>
    </w:p>
    <w:p>
      <w:pPr>
        <w:spacing w:after="140"/>
        <w:ind w:left="283" w:hanging="170"/>
      </w:pPr>
      <w:r>
        <w:rPr>
          <w:sz w:val="21"/>
        </w:rPr>
        <w:t>・SNS・インターネット利用に関するルール</w:t>
      </w:r>
    </w:p>
    <w:p>
      <w:pPr>
        <w:spacing w:after="140"/>
        <w:ind w:left="283" w:hanging="170"/>
      </w:pPr>
      <w:r>
        <w:rPr>
          <w:sz w:val="21"/>
        </w:rPr>
        <w:t>・社内設備・スペース・備品等の利用ルール</w:t>
      </w:r>
    </w:p>
    <w:p>
      <w:pPr>
        <w:spacing w:after="140"/>
        <w:ind w:left="283" w:hanging="170"/>
      </w:pPr>
      <w:r>
        <w:rPr>
          <w:sz w:val="21"/>
        </w:rPr>
        <w:t>・その他、会社が業務上必要として定める規程・運用ルール</w:t>
      </w:r>
    </w:p>
    <w:p>
      <w:pPr>
        <w:spacing w:after="80"/>
      </w:pPr>
      <w:r>
        <w:rPr>
          <w:b/>
          <w:sz w:val="22"/>
        </w:rPr>
        <w:t>ルールの確認方法</w:t>
      </w:r>
    </w:p>
    <w:p>
      <w:r>
        <w:t>最新の社内ルール・就業規則・各種規程は、社内システムの「社内情報（ライブラリ）」からいつでも確認できます。内容が更新された場合は、会社からのお知らせを確認します。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sz w:val="22"/>
              </w:rPr>
              <w:t xml:space="preserve">電子確認について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本書の内容を確認のうえ、社内システム上の「読みました。内容に同意します」にチェックすることで、本書の内容への確認・同意を行います。確認・同意した日時および対象文書のバージョンは会社のシステムに記録されます。</w:t>
            </w:r>
          </w:p>
        </w:tc>
      </w:tr>
    </w:tbl>
    <w:p>
      <w:pPr>
        <w:spacing w:before="160"/>
      </w:pPr>
      <w:r>
        <w:rPr>
          <w:i/>
          <w:sz w:val="17"/>
        </w:rPr>
        <w:t>※本確認書は主要なルールの確認を目的としたものです。詳細は、社内情報（ライブラリ）に掲載された最新の規程・ルールを確認してください。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