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2017年12月10</w:t>
            </w:r>
            <w:bookmarkStart w:id="28" w:name="_GoBack"/>
            <w:bookmarkEnd w:id="28"/>
            <w:r>
              <w:rPr>
                <w:rFonts w:hint="eastAsia"/>
                <w:sz w:val="24"/>
                <w:lang w:val="en-US" w:eastAsia="zh-CN"/>
              </w:rPr>
              <w:t>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2017年11月19日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2017年11月29日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添加甘特图修改记录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2017年12月10日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both"/>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李泽龙</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18258871339</w:t>
            </w:r>
          </w:p>
          <w:p>
            <w:pPr>
              <w:rPr>
                <w:rFonts w:hint="eastAsia"/>
                <w:sz w:val="24"/>
                <w:szCs w:val="24"/>
                <w:vertAlign w:val="baseline"/>
                <w:lang w:val="en-US" w:eastAsia="zh-CN"/>
              </w:rPr>
            </w:pPr>
            <w:r>
              <w:rPr>
                <w:rFonts w:hint="eastAsia"/>
                <w:sz w:val="24"/>
                <w:szCs w:val="24"/>
                <w:vertAlign w:val="baseline"/>
                <w:lang w:val="en-US" w:eastAsia="zh-CN"/>
              </w:rPr>
              <w:t>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张应栋</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尹建谨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叶欣</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929890180@qq.com</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62880" cy="2872740"/>
            <wp:effectExtent l="0" t="0" r="13970" b="381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17"/>
                    <a:stretch>
                      <a:fillRect/>
                    </a:stretch>
                  </pic:blipFill>
                  <pic:spPr>
                    <a:xfrm>
                      <a:off x="0" y="0"/>
                      <a:ext cx="5262880" cy="2872740"/>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8"/>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altName w:val="宋体"/>
    <w:panose1 w:val="03000509000000000000"/>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231151"/>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1F6D25AF"/>
    <w:rsid w:val="205973B4"/>
    <w:rsid w:val="209B774B"/>
    <w:rsid w:val="20C026EE"/>
    <w:rsid w:val="214457D2"/>
    <w:rsid w:val="220A141E"/>
    <w:rsid w:val="22670148"/>
    <w:rsid w:val="23D0202F"/>
    <w:rsid w:val="24E01AD9"/>
    <w:rsid w:val="27E6375D"/>
    <w:rsid w:val="2B5A4C91"/>
    <w:rsid w:val="2B642BCF"/>
    <w:rsid w:val="2B72471E"/>
    <w:rsid w:val="2E37162D"/>
    <w:rsid w:val="2F5D64FE"/>
    <w:rsid w:val="2FB324B2"/>
    <w:rsid w:val="311308CF"/>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B2A7B63"/>
    <w:rsid w:val="4CC8052C"/>
    <w:rsid w:val="4E7F43E7"/>
    <w:rsid w:val="51AB618B"/>
    <w:rsid w:val="53B762D2"/>
    <w:rsid w:val="57670719"/>
    <w:rsid w:val="57677446"/>
    <w:rsid w:val="586022DA"/>
    <w:rsid w:val="5A2C1135"/>
    <w:rsid w:val="5BE06456"/>
    <w:rsid w:val="5C4D4929"/>
    <w:rsid w:val="5D433A0E"/>
    <w:rsid w:val="5D575607"/>
    <w:rsid w:val="5F0500FD"/>
    <w:rsid w:val="624F2741"/>
    <w:rsid w:val="62AD234A"/>
    <w:rsid w:val="660E34EA"/>
    <w:rsid w:val="664C76EF"/>
    <w:rsid w:val="6BDE6B19"/>
    <w:rsid w:val="6CA74C96"/>
    <w:rsid w:val="6D855FCD"/>
    <w:rsid w:val="71B97EC2"/>
    <w:rsid w:val="7388550D"/>
    <w:rsid w:val="75135A46"/>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2017-12-10T10:00:51Z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