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2017年11月4日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73675" cy="2374900"/>
            <wp:effectExtent l="0" t="0" r="3175" b="635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tretch>
                      <a:fillRect/>
                    </a:stretch>
                  </pic:blipFill>
                  <pic:spPr>
                    <a:xfrm>
                      <a:off x="0" y="0"/>
                      <a:ext cx="5273675" cy="2374900"/>
                    </a:xfrm>
                    <a:prstGeom prst="rect">
                      <a:avLst/>
                    </a:prstGeom>
                    <a:noFill/>
                    <a:ln w="9525">
                      <a:noFill/>
                    </a:ln>
                  </pic:spPr>
                </pic:pic>
              </a:graphicData>
            </a:graphic>
          </wp:inline>
        </w:drawing>
      </w:r>
      <w:bookmarkStart w:id="28" w:name="_GoBack"/>
      <w:bookmarkEnd w:id="28"/>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6"/>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4E7F43E7"/>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388550D"/>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2017-11-19T09:13:29Z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