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2017年11月19日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2017年11月19日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bookmarkStart w:id="28" w:name="_GoBack"/>
            <w:bookmarkEnd w:id="28"/>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73675" cy="2374900"/>
            <wp:effectExtent l="0" t="0" r="3175" b="635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tretch>
                      <a:fillRect/>
                    </a:stretch>
                  </pic:blipFill>
                  <pic:spPr>
                    <a:xfrm>
                      <a:off x="0" y="0"/>
                      <a:ext cx="5273675" cy="2374900"/>
                    </a:xfrm>
                    <a:prstGeom prst="rect">
                      <a:avLst/>
                    </a:prstGeom>
                    <a:noFill/>
                    <a:ln w="9525">
                      <a:noFill/>
                    </a:ln>
                  </pic:spPr>
                </pic:pic>
              </a:graphicData>
            </a:graphic>
          </wp:inline>
        </w:drawing>
      </w:r>
      <w:r>
        <w:drawing>
          <wp:inline distT="0" distB="0" distL="114300" distR="114300">
            <wp:extent cx="5274310" cy="3058795"/>
            <wp:effectExtent l="0" t="0" r="2540"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6"/>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1F6D25AF"/>
    <w:rsid w:val="205973B4"/>
    <w:rsid w:val="209B774B"/>
    <w:rsid w:val="20C026EE"/>
    <w:rsid w:val="214457D2"/>
    <w:rsid w:val="220A141E"/>
    <w:rsid w:val="22670148"/>
    <w:rsid w:val="23D0202F"/>
    <w:rsid w:val="24E01AD9"/>
    <w:rsid w:val="27E6375D"/>
    <w:rsid w:val="2B5A4C91"/>
    <w:rsid w:val="2B642BCF"/>
    <w:rsid w:val="2B72471E"/>
    <w:rsid w:val="2E37162D"/>
    <w:rsid w:val="2F5D64FE"/>
    <w:rsid w:val="2FB324B2"/>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B2A7B63"/>
    <w:rsid w:val="4CC8052C"/>
    <w:rsid w:val="4E7F43E7"/>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388550D"/>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2017-11-19T09:33:53Z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