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b w:val="1"/>
        </w:rPr>
      </w:pPr>
      <w:r w:rsidDel="00000000" w:rsidR="00000000" w:rsidRPr="00000000">
        <w:rPr>
          <w:b w:val="1"/>
          <w:rtl w:val="0"/>
        </w:rPr>
        <w:t xml:space="preserve">Introduction</w:t>
      </w:r>
    </w:p>
    <w:p w:rsidR="00000000" w:rsidDel="00000000" w:rsidP="00000000" w:rsidRDefault="00000000" w:rsidRPr="00000000" w14:paraId="00000002">
      <w:pPr>
        <w:spacing w:line="480" w:lineRule="auto"/>
        <w:ind w:firstLine="720"/>
        <w:rPr/>
      </w:pPr>
      <w:r w:rsidDel="00000000" w:rsidR="00000000" w:rsidRPr="00000000">
        <w:rPr>
          <w:rtl w:val="0"/>
        </w:rPr>
        <w:t xml:space="preserve">Why do people vote for certain parties? This question has been relevant since the first modern democracies emerged and has only gained importance as democracy became the most common government type worldwide. In democracies, the identification of voters with political parties decides which of them receive governmental authority. In the past, it has been argued that this political identification is based on socialization (</w:t>
      </w:r>
      <w:r w:rsidDel="00000000" w:rsidR="00000000" w:rsidRPr="00000000">
        <w:rPr>
          <w:rtl w:val="0"/>
        </w:rPr>
        <w:t xml:space="preserve">Campbell, Converse, Miller, &amp; Stokes, 1960)</w:t>
      </w:r>
      <w:r w:rsidDel="00000000" w:rsidR="00000000" w:rsidRPr="00000000">
        <w:rPr>
          <w:vertAlign w:val="superscript"/>
        </w:rPr>
        <w:footnoteReference w:customMarkFollows="0" w:id="0"/>
      </w:r>
      <w:r w:rsidDel="00000000" w:rsidR="00000000" w:rsidRPr="00000000">
        <w:rPr>
          <w:rtl w:val="0"/>
        </w:rPr>
        <w:t xml:space="preserve"> or major political events and new information (Fiorina, 1981)</w:t>
      </w:r>
      <w:r w:rsidDel="00000000" w:rsidR="00000000" w:rsidRPr="00000000">
        <w:rPr>
          <w:vertAlign w:val="superscript"/>
          <w:rtl w:val="0"/>
        </w:rPr>
        <w:t xml:space="preserve">1</w:t>
      </w:r>
      <w:r w:rsidDel="00000000" w:rsidR="00000000" w:rsidRPr="00000000">
        <w:rPr>
          <w:rtl w:val="0"/>
        </w:rPr>
        <w:t xml:space="preserve">. </w:t>
      </w:r>
    </w:p>
    <w:p w:rsidR="00000000" w:rsidDel="00000000" w:rsidP="00000000" w:rsidRDefault="00000000" w:rsidRPr="00000000" w14:paraId="00000003">
      <w:pPr>
        <w:spacing w:line="480" w:lineRule="auto"/>
        <w:ind w:firstLine="720"/>
        <w:rPr/>
      </w:pPr>
      <w:r w:rsidDel="00000000" w:rsidR="00000000" w:rsidRPr="00000000">
        <w:rPr>
          <w:rtl w:val="0"/>
        </w:rPr>
        <w:t xml:space="preserve">The development and widespread acceptance of the Five-Factor Model (the Big Five) for the measurement of personality traits (Digman, 1990) opened up many new possibilities in this field of research. The Big Five are openness, conscientiousness, extraversion, agreeableness, and neuroticism, which together reliably describe human personalities (Digman, 1990). A person's political association can now be reliably linked to personality traits, deepening the understanding of politics and voting. </w:t>
      </w:r>
    </w:p>
    <w:p w:rsidR="00000000" w:rsidDel="00000000" w:rsidP="00000000" w:rsidRDefault="00000000" w:rsidRPr="00000000" w14:paraId="00000004">
      <w:pPr>
        <w:ind w:firstLine="720"/>
        <w:rPr/>
      </w:pPr>
      <w:r w:rsidDel="00000000" w:rsidR="00000000" w:rsidRPr="00000000">
        <w:rPr>
          <w:rtl w:val="0"/>
        </w:rPr>
        <w:t xml:space="preserve">This Five-Factor Model was used by Gerber, Huber, Doherty, and Dowling (2012) and Bakker, Hopmann and Persson (2015) to analyze the relationship between personality traits and political association in the USA and Germany, respectively. Both nations are among the most influential worldwide and are important allies and trade partners. </w:t>
      </w:r>
    </w:p>
    <w:p w:rsidR="00000000" w:rsidDel="00000000" w:rsidP="00000000" w:rsidRDefault="00000000" w:rsidRPr="00000000" w14:paraId="00000005">
      <w:pPr>
        <w:ind w:firstLine="720"/>
        <w:rPr/>
      </w:pPr>
      <w:r w:rsidDel="00000000" w:rsidR="00000000" w:rsidRPr="00000000">
        <w:rPr>
          <w:rtl w:val="0"/>
        </w:rPr>
        <w:t xml:space="preserve">With help of the studies by Gerber et al. (2012) and Bakker et al. (2015), it is possible to compare the influence of personality traits on the direction (i.e. left or right, liberal or conservative) of political (party) affiliation. The strength of the influence of each trait can also be contrasted. In addition, the differences in political affiliation between the U.S. and Germany can be deduced.</w:t>
      </w:r>
    </w:p>
    <w:p w:rsidR="00000000" w:rsidDel="00000000" w:rsidP="00000000" w:rsidRDefault="00000000" w:rsidRPr="00000000" w14:paraId="00000006">
      <w:pPr>
        <w:ind w:firstLine="720"/>
        <w:rPr/>
      </w:pPr>
      <w:r w:rsidDel="00000000" w:rsidR="00000000" w:rsidRPr="00000000">
        <w:rPr>
          <w:rtl w:val="0"/>
        </w:rPr>
        <w:t xml:space="preserve">Although both countries political systems are strikingly different, I theorize that the association between personality traits and political views and the influence of the traits are similar in both countries. The USA’s two-party system gives voters fewer choices than Germany’s multi-party system. This might cause political identification in the USA to be simpler and thus more stable than in Germany. Germany has multiple, ideologically similar parties, making choices more difficult and offering alternatives to switch to.</w:t>
      </w:r>
    </w:p>
    <w:p w:rsidR="00000000" w:rsidDel="00000000" w:rsidP="00000000" w:rsidRDefault="00000000" w:rsidRPr="00000000" w14:paraId="00000007">
      <w:pPr>
        <w:spacing w:line="480" w:lineRule="auto"/>
        <w:ind w:firstLine="0"/>
        <w:rPr>
          <w:b w:val="1"/>
        </w:rPr>
      </w:pPr>
      <w:r w:rsidDel="00000000" w:rsidR="00000000" w:rsidRPr="00000000">
        <w:rPr>
          <w:b w:val="1"/>
          <w:rtl w:val="0"/>
        </w:rPr>
        <w:t xml:space="preserve">Material and Methods</w:t>
      </w:r>
    </w:p>
    <w:p w:rsidR="00000000" w:rsidDel="00000000" w:rsidP="00000000" w:rsidRDefault="00000000" w:rsidRPr="00000000" w14:paraId="00000008">
      <w:pPr>
        <w:spacing w:line="480" w:lineRule="auto"/>
        <w:ind w:firstLine="720"/>
        <w:rPr/>
      </w:pPr>
      <w:r w:rsidDel="00000000" w:rsidR="00000000" w:rsidRPr="00000000">
        <w:rPr>
          <w:rtl w:val="0"/>
        </w:rPr>
        <w:t xml:space="preserve">Both studies use the Five-Factor Model which has been proven to be successful at measuring personality traits (Digman, 1990). Gerber et al. (2012) use data from the 2007-2008 Cooperative Campaign Analysis Project survey. In this opt-in internet survey, 12,407 participants of voting age were presented with the Ten-Item Personality Inventory (TIPI), a questionnaire measuring the Big Five traits, as well as a range of questions on ideology and their demographics. The authors then weighed the results to generate a sample representative of the U.S. population.</w:t>
      </w:r>
    </w:p>
    <w:p w:rsidR="00000000" w:rsidDel="00000000" w:rsidP="00000000" w:rsidRDefault="00000000" w:rsidRPr="00000000" w14:paraId="00000009">
      <w:pPr>
        <w:spacing w:line="480" w:lineRule="auto"/>
        <w:ind w:firstLine="720"/>
        <w:rPr/>
      </w:pPr>
      <w:r w:rsidDel="00000000" w:rsidR="00000000" w:rsidRPr="00000000">
        <w:rPr>
          <w:rtl w:val="0"/>
        </w:rPr>
        <w:t xml:space="preserve">The study by Bakker et al. (2015) uses data provided by the German Socio-Economic Panel (GSOEP) in studies from 2005 and 2009. The GSOEP has been surveying households in Germany since 1984 and the authors use the data of 18,157 individuals who participated in both the 2005 and 2009 studies. In both, party identification and strength of identification were assessed and in 2005 the Big Five Inventory-Short Version (BFI-S) was used to measure personality traits...</w:t>
      </w:r>
    </w:p>
    <w:p w:rsidR="00000000" w:rsidDel="00000000" w:rsidP="00000000" w:rsidRDefault="00000000" w:rsidRPr="00000000" w14:paraId="0000000A">
      <w:pPr>
        <w:spacing w:line="480" w:lineRule="auto"/>
        <w:ind w:firstLine="0"/>
        <w:rPr>
          <w:b w:val="1"/>
        </w:rPr>
      </w:pPr>
      <w:r w:rsidDel="00000000" w:rsidR="00000000" w:rsidRPr="00000000">
        <w:rPr>
          <w:b w:val="1"/>
          <w:rtl w:val="0"/>
        </w:rPr>
        <w:t xml:space="preserve">Results</w:t>
      </w:r>
    </w:p>
    <w:p w:rsidR="00000000" w:rsidDel="00000000" w:rsidP="00000000" w:rsidRDefault="00000000" w:rsidRPr="00000000" w14:paraId="0000000B">
      <w:pPr>
        <w:ind w:firstLine="720"/>
        <w:rPr>
          <w:b w:val="1"/>
          <w:i w:val="1"/>
        </w:rPr>
      </w:pPr>
      <w:r w:rsidDel="00000000" w:rsidR="00000000" w:rsidRPr="00000000">
        <w:rPr>
          <w:i w:val="1"/>
          <w:rtl w:val="0"/>
        </w:rPr>
        <w:t xml:space="preserve">What did I find out? Similarities and Differences based on research questions.</w:t>
      </w:r>
      <w:r w:rsidDel="00000000" w:rsidR="00000000" w:rsidRPr="00000000">
        <w:rPr>
          <w:rtl w:val="0"/>
        </w:rPr>
      </w:r>
    </w:p>
    <w:p w:rsidR="00000000" w:rsidDel="00000000" w:rsidP="00000000" w:rsidRDefault="00000000" w:rsidRPr="00000000" w14:paraId="0000000C">
      <w:pPr>
        <w:spacing w:line="480" w:lineRule="auto"/>
        <w:ind w:firstLine="0"/>
        <w:rPr>
          <w:b w:val="1"/>
        </w:rPr>
      </w:pPr>
      <w:r w:rsidDel="00000000" w:rsidR="00000000" w:rsidRPr="00000000">
        <w:rPr>
          <w:b w:val="1"/>
          <w:rtl w:val="0"/>
        </w:rPr>
        <w:t xml:space="preserve">Discussion</w:t>
      </w:r>
    </w:p>
    <w:p w:rsidR="00000000" w:rsidDel="00000000" w:rsidP="00000000" w:rsidRDefault="00000000" w:rsidRPr="00000000" w14:paraId="0000000D">
      <w:pPr>
        <w:ind w:firstLine="720"/>
        <w:rPr>
          <w:b w:val="1"/>
          <w:i w:val="1"/>
        </w:rPr>
      </w:pPr>
      <w:r w:rsidDel="00000000" w:rsidR="00000000" w:rsidRPr="00000000">
        <w:rPr>
          <w:i w:val="1"/>
          <w:rtl w:val="0"/>
        </w:rPr>
        <w:t xml:space="preserve">These findings are important because… and they show that...</w:t>
      </w:r>
      <w:r w:rsidDel="00000000" w:rsidR="00000000" w:rsidRPr="00000000">
        <w:rPr>
          <w:rtl w:val="0"/>
        </w:rPr>
      </w:r>
    </w:p>
    <w:p w:rsidR="00000000" w:rsidDel="00000000" w:rsidP="00000000" w:rsidRDefault="00000000" w:rsidRPr="00000000" w14:paraId="0000000E">
      <w:pPr>
        <w:spacing w:line="480" w:lineRule="auto"/>
        <w:ind w:firstLine="0"/>
        <w:rPr>
          <w:b w:val="1"/>
        </w:rPr>
      </w:pPr>
      <w:r w:rsidDel="00000000" w:rsidR="00000000" w:rsidRPr="00000000">
        <w:rPr>
          <w:b w:val="1"/>
          <w:rtl w:val="0"/>
        </w:rPr>
        <w:t xml:space="preserve">Outlook</w:t>
      </w:r>
    </w:p>
    <w:p w:rsidR="00000000" w:rsidDel="00000000" w:rsidP="00000000" w:rsidRDefault="00000000" w:rsidRPr="00000000" w14:paraId="0000000F">
      <w:pPr>
        <w:ind w:firstLine="720"/>
        <w:rPr>
          <w:i w:val="1"/>
        </w:rPr>
      </w:pPr>
      <w:r w:rsidDel="00000000" w:rsidR="00000000" w:rsidRPr="00000000">
        <w:rPr>
          <w:i w:val="1"/>
          <w:rtl w:val="0"/>
        </w:rPr>
        <w:t xml:space="preserve">Maybe “what comes next, probably not</w:t>
      </w:r>
    </w:p>
    <w:p w:rsidR="00000000" w:rsidDel="00000000" w:rsidP="00000000" w:rsidRDefault="00000000" w:rsidRPr="00000000" w14:paraId="00000010">
      <w:pPr>
        <w:ind w:firstLine="0"/>
        <w:jc w:val="center"/>
        <w:rPr/>
      </w:pPr>
      <w:r w:rsidDel="00000000" w:rsidR="00000000" w:rsidRPr="00000000">
        <w:rPr>
          <w:rtl w:val="0"/>
        </w:rPr>
        <w:t xml:space="preserve">References </w:t>
      </w:r>
    </w:p>
    <w:p w:rsidR="00000000" w:rsidDel="00000000" w:rsidP="00000000" w:rsidRDefault="00000000" w:rsidRPr="00000000" w14:paraId="00000011">
      <w:pPr>
        <w:spacing w:before="40" w:lineRule="auto"/>
        <w:ind w:left="720"/>
        <w:rPr/>
      </w:pPr>
      <w:r w:rsidDel="00000000" w:rsidR="00000000" w:rsidRPr="00000000">
        <w:rPr>
          <w:rtl w:val="0"/>
        </w:rPr>
        <w:t xml:space="preserve">Bakker, B. N., H</w:t>
      </w:r>
      <w:r w:rsidDel="00000000" w:rsidR="00000000" w:rsidRPr="00000000">
        <w:rPr>
          <w:rtl w:val="0"/>
        </w:rPr>
        <w:t xml:space="preserve">opmann, D. N., &amp; Persson, M. (2015). Personality traits and party identification over time.</w:t>
      </w:r>
      <w:r w:rsidDel="00000000" w:rsidR="00000000" w:rsidRPr="00000000">
        <w:rPr>
          <w:i w:val="1"/>
          <w:rtl w:val="0"/>
        </w:rPr>
        <w:t xml:space="preserve"> Eu</w:t>
      </w:r>
      <w:r w:rsidDel="00000000" w:rsidR="00000000" w:rsidRPr="00000000">
        <w:rPr>
          <w:i w:val="1"/>
          <w:rtl w:val="0"/>
        </w:rPr>
        <w:t xml:space="preserve">ropean Journal Of Political Research</w:t>
      </w:r>
      <w:r w:rsidDel="00000000" w:rsidR="00000000" w:rsidRPr="00000000">
        <w:rPr>
          <w:rtl w:val="0"/>
        </w:rPr>
        <w:t xml:space="preserve">,</w:t>
      </w:r>
      <w:r w:rsidDel="00000000" w:rsidR="00000000" w:rsidRPr="00000000">
        <w:rPr>
          <w:i w:val="1"/>
          <w:rtl w:val="0"/>
        </w:rPr>
        <w:t xml:space="preserve"> 54</w:t>
      </w:r>
      <w:r w:rsidDel="00000000" w:rsidR="00000000" w:rsidRPr="00000000">
        <w:rPr>
          <w:rtl w:val="0"/>
        </w:rPr>
        <w:t xml:space="preserve">(2), 197-215. doi:10.1111/1475-6765.12070</w:t>
      </w:r>
    </w:p>
    <w:p w:rsidR="00000000" w:rsidDel="00000000" w:rsidP="00000000" w:rsidRDefault="00000000" w:rsidRPr="00000000" w14:paraId="00000012">
      <w:pPr>
        <w:spacing w:before="40" w:lineRule="auto"/>
        <w:ind w:left="720"/>
        <w:rPr/>
      </w:pPr>
      <w:r w:rsidDel="00000000" w:rsidR="00000000" w:rsidRPr="00000000">
        <w:rPr>
          <w:rtl w:val="0"/>
        </w:rPr>
        <w:t xml:space="preserve">Campbell, A., Converse, P. E., Miller, W. E., &amp; Stokes, D. E. (1960). The American voter. New York, NY: Wiley.</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40" w:line="480" w:lineRule="auto"/>
        <w:ind w:left="720" w:right="0" w:hanging="720"/>
        <w:jc w:val="left"/>
        <w:rPr/>
      </w:pPr>
      <w:r w:rsidDel="00000000" w:rsidR="00000000" w:rsidRPr="00000000">
        <w:rPr>
          <w:rtl w:val="0"/>
        </w:rPr>
        <w:t xml:space="preserve">Digman, J. (1990). Personality structure: Emergence of the five-factor model. </w:t>
      </w:r>
      <w:r w:rsidDel="00000000" w:rsidR="00000000" w:rsidRPr="00000000">
        <w:rPr>
          <w:i w:val="1"/>
          <w:rtl w:val="0"/>
        </w:rPr>
        <w:t xml:space="preserve">Annual Review Of Psychology</w:t>
      </w:r>
      <w:r w:rsidDel="00000000" w:rsidR="00000000" w:rsidRPr="00000000">
        <w:rPr>
          <w:rtl w:val="0"/>
        </w:rPr>
        <w:t xml:space="preserve">, </w:t>
      </w:r>
      <w:r w:rsidDel="00000000" w:rsidR="00000000" w:rsidRPr="00000000">
        <w:rPr>
          <w:i w:val="1"/>
          <w:rtl w:val="0"/>
        </w:rPr>
        <w:t xml:space="preserve">41</w:t>
      </w:r>
      <w:r w:rsidDel="00000000" w:rsidR="00000000" w:rsidRPr="00000000">
        <w:rPr>
          <w:rtl w:val="0"/>
        </w:rPr>
        <w:t xml:space="preserve">(1), 417-440.</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40" w:line="480" w:lineRule="auto"/>
        <w:ind w:left="720" w:right="0" w:hanging="720"/>
        <w:jc w:val="left"/>
        <w:rPr>
          <w:vertAlign w:val="superscript"/>
        </w:rPr>
      </w:pPr>
      <w:r w:rsidDel="00000000" w:rsidR="00000000" w:rsidRPr="00000000">
        <w:rPr>
          <w:rtl w:val="0"/>
        </w:rPr>
        <w:t xml:space="preserve">Fiorina, M. P. (1981). Retrospective voting in American National Elections. New Haven, CT: Yale University Press.</w:t>
      </w:r>
      <w:r w:rsidDel="00000000" w:rsidR="00000000" w:rsidRPr="00000000">
        <w:rPr>
          <w:vertAlign w:val="superscript"/>
          <w:rtl w:val="0"/>
        </w:rPr>
        <w:t xml:space="preserve">2</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40" w:line="480" w:lineRule="auto"/>
        <w:ind w:left="720" w:right="0" w:hanging="720"/>
        <w:jc w:val="left"/>
        <w:rPr/>
      </w:pPr>
      <w:r w:rsidDel="00000000" w:rsidR="00000000" w:rsidRPr="00000000">
        <w:rPr>
          <w:rtl w:val="0"/>
        </w:rPr>
        <w:t xml:space="preserve">Gerber, A., Huber, G., Doherty, D., &amp; Dowling, C. (2012). Personality and the Strength and Direction of Partisan Identification. </w:t>
      </w:r>
      <w:r w:rsidDel="00000000" w:rsidR="00000000" w:rsidRPr="00000000">
        <w:rPr>
          <w:i w:val="1"/>
          <w:rtl w:val="0"/>
        </w:rPr>
        <w:t xml:space="preserve">Political Behavior</w:t>
      </w:r>
      <w:r w:rsidDel="00000000" w:rsidR="00000000" w:rsidRPr="00000000">
        <w:rPr>
          <w:rtl w:val="0"/>
        </w:rPr>
        <w:t xml:space="preserve">, </w:t>
      </w:r>
      <w:r w:rsidDel="00000000" w:rsidR="00000000" w:rsidRPr="00000000">
        <w:rPr>
          <w:i w:val="1"/>
          <w:rtl w:val="0"/>
        </w:rPr>
        <w:t xml:space="preserve">34</w:t>
      </w:r>
      <w:r w:rsidDel="00000000" w:rsidR="00000000" w:rsidRPr="00000000">
        <w:rPr>
          <w:rtl w:val="0"/>
        </w:rPr>
        <w:t xml:space="preserve">(4), 653-688. doi:10.1007/s11109-011-9178-5</w:t>
      </w:r>
    </w:p>
    <w:p w:rsidR="00000000" w:rsidDel="00000000" w:rsidP="00000000" w:rsidRDefault="00000000" w:rsidRPr="00000000" w14:paraId="00000016">
      <w:pPr>
        <w:ind w:left="720"/>
        <w:rPr/>
      </w:pPr>
      <w:r w:rsidDel="00000000" w:rsidR="00000000" w:rsidRPr="00000000">
        <w:rPr>
          <w:rtl w:val="0"/>
        </w:rPr>
        <w:t xml:space="preserve">Rousseau, J.-J. (2002). The Social Contract and The First and Second Discourses. S. Dunn (Ed.). London, UK: Yale University Press.</w:t>
      </w:r>
      <w:r w:rsidDel="00000000" w:rsidR="00000000" w:rsidRPr="00000000">
        <w:rPr>
          <w:rtl w:val="0"/>
        </w:rPr>
      </w:r>
    </w:p>
    <w:p w:rsidR="00000000" w:rsidDel="00000000" w:rsidP="00000000" w:rsidRDefault="00000000" w:rsidRPr="00000000" w14:paraId="00000017">
      <w:pPr>
        <w:ind w:firstLine="0"/>
        <w:rPr>
          <w:b w:val="1"/>
        </w:rPr>
      </w:pPr>
      <w:r w:rsidDel="00000000" w:rsidR="00000000" w:rsidRPr="00000000">
        <w:rPr>
          <w:b w:val="1"/>
          <w:rtl w:val="0"/>
        </w:rPr>
        <w:t xml:space="preserve">Concerns</w:t>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Do I have to cite Rousseau/use him as a source? It does not really fit the paper in my opinion.</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I hope everything is clear and understandable, especially the Introduction, as it is the most polished part of the paper.</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Is the amount of citations good, or is it too much or too little?</w:t>
      </w:r>
      <w:r w:rsidDel="00000000" w:rsidR="00000000" w:rsidRPr="00000000">
        <w:rPr>
          <w:rtl w:val="0"/>
        </w:rPr>
      </w:r>
    </w:p>
    <w:sectPr>
      <w:headerReference r:id="rId7" w:type="default"/>
      <w:footerReference r:id="rId8"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1">
    <w:p w:rsidR="00000000" w:rsidDel="00000000" w:rsidP="00000000" w:rsidRDefault="00000000" w:rsidRPr="00000000" w14:paraId="0000001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‘Preliminary’ sources, not sure if I will use them</w:t>
      </w:r>
    </w:p>
  </w:footnote>
  <w:footnote w:id="0">
    <w:p w:rsidR="00000000" w:rsidDel="00000000" w:rsidP="00000000" w:rsidRDefault="00000000" w:rsidRPr="00000000" w14:paraId="0000001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‘Preliminary’ sources, not sure if I will use them</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B">
    <w:pPr>
      <w:jc w:val="right"/>
      <w:rPr/>
    </w:pPr>
    <w:r w:rsidDel="00000000" w:rsidR="00000000" w:rsidRPr="00000000">
      <w:rPr>
        <w:rtl w:val="0"/>
      </w:rPr>
    </w:r>
  </w:p>
  <w:p w:rsidR="00000000" w:rsidDel="00000000" w:rsidP="00000000" w:rsidRDefault="00000000" w:rsidRPr="00000000" w14:paraId="0000001C">
    <w:pPr>
      <w:jc w:val="right"/>
      <w:rPr/>
    </w:pPr>
    <w:r w:rsidDel="00000000" w:rsidR="00000000" w:rsidRPr="00000000">
      <w:rPr>
        <w:rFonts w:ascii="Times New Roman" w:cs="Times New Roman" w:eastAsia="Times New Roman" w:hAnsi="Times New Roman"/>
        <w:sz w:val="24"/>
        <w:szCs w:val="24"/>
        <w:rtl w:val="0"/>
      </w:rPr>
      <w:t xml:space="preserve">Moritz M</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Konarski</w:t>
      <w:tab/>
      <w:tab/>
      <w:tab/>
      <w:tab/>
      <w:t xml:space="preserve">  </w:t>
      <w:tab/>
      <w:tab/>
      <w:tab/>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