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09.02.</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75z4iheothve"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Luther’s challenge to the authority of the church and the insistence on the equality between clergymen and ordinary believers is a really important part of his legacy. This thought might have been one that made him translate the Bible into German so that everyone could read it. This enabled the wider population to actively participate in religion and to understand what priests told them. For the believers this meant a new level of understanding of the scripture. Another consequence was that now the church could not dictate the interpretation of the scripture as easily because now people could just read the relevant passages and see for themselves. An unintended result of this may be atheism, as now the questionable parts of the Bible were clearly visible for everyone.</w:t>
      </w:r>
    </w:p>
    <w:p w:rsidR="00000000" w:rsidDel="00000000" w:rsidP="00000000" w:rsidRDefault="00000000" w:rsidRPr="00000000" w14:paraId="00000004">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Subtitle"/>
        <w:spacing w:after="0" w:lineRule="auto"/>
        <w:rPr>
          <w:rFonts w:ascii="Times New Roman" w:cs="Times New Roman" w:eastAsia="Times New Roman" w:hAnsi="Times New Roman"/>
        </w:rPr>
      </w:pPr>
      <w:bookmarkStart w:colFirst="0" w:colLast="0" w:name="_66zm2lbp6c4i"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Would you say that Luther's legacy is a positive one?</w:t>
      </w: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