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1"/>
        <w:gridCol w:w="2563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 xml:space="preserve">Meeting with Imashev – </w:t>
            </w: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finalize the distribution of tasks between the team members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Create UI sketch in Balsamiq for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Experiment with splitting netcdf files by variables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make plan for meeting tomorrow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23.09.2020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Join collaborative folder for development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meet with Akylbek to discuss planning and responsibilities –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split the project into 3 parts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eet with advisor to finalize distribution of responsibilties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LibreOffice/6.4.6.2$Linux_X86_64 LibreOffice_project/40$Build-2</Application>
  <Pages>12</Pages>
  <Words>770</Words>
  <Characters>6431</Characters>
  <CharactersWithSpaces>7679</CharactersWithSpaces>
  <Paragraphs>109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2020-09-23T15:58:18Z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