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1"/>
        <w:gridCol w:w="2563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exchange of contact details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Akylbek to discuss planning and responsibilities – split the project into 3 parts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advisor to finalize distribution of responsibilties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24.09.2020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Investigate possible file formats for data storage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Share opinion with advisor, discuss merits of our ideas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before="0" w:after="29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decide on *.npy files for data storage and then *.json for the metadata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29.09.2020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Start to implement program that can concatenate files into one large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30.09.2020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spacing w:before="0" w:after="86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Continue work on concatenation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01.10.2020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Finish basic variable extraction program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finish basic variable concatenation program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both program use compressed 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LibreOffice/7.0.1.2$Linux_X86_64 LibreOffice_project/00$Build-2</Application>
  <Pages>12</Pages>
  <Words>845</Words>
  <Characters>6848</Characters>
  <CharactersWithSpaces>8148</CharactersWithSpaces>
  <Paragraphs>123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2020-10-01T13:46:04Z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