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1B2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C8102E"/>
                <w:sz w:val="84"/>
                <w:u w:val="none"/>
              </w:rPr>
              <w:t>AXRAH</w:t>
            </w:r>
            <w:r>
              <w:rPr>
                <w:rFonts w:ascii="Calibri" w:hAnsi="Calibri"/>
                <w:b/>
                <w:i w:val="0"/>
                <w:color w:val="FFFFFF"/>
                <w:sz w:val="48"/>
                <w:u w:val="none"/>
              </w:rPr>
              <w:br/>
              <w:t>SALES BIBLE</w:t>
            </w:r>
            <w:r>
              <w:rPr>
                <w:rFonts w:ascii="Calibri" w:hAnsi="Calibri"/>
                <w:b w:val="0"/>
                <w:i w:val="0"/>
                <w:color w:val="6B7C93"/>
                <w:sz w:val="24"/>
                <w:u w:val="none"/>
              </w:rPr>
              <w:br/>
              <w:br/>
              <w:t>Initial Outreach Scripts — Email &amp; SMS</w:t>
            </w:r>
            <w:r>
              <w:rPr>
                <w:rFonts w:ascii="Calibri" w:hAnsi="Calibri"/>
                <w:b w:val="0"/>
                <w:i w:val="0"/>
                <w:color w:val="6B7C93"/>
                <w:sz w:val="18"/>
                <w:u w:val="none"/>
              </w:rPr>
              <w:br/>
              <w:br/>
              <w:t>For internal use only  ·  2026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i w:val="0"/>
          <w:color w:val="22344A"/>
          <w:sz w:val="22"/>
          <w:u w:val="none"/>
        </w:rPr>
        <w:t>Chamber  $16,999   ·   Chamber Ultra  $26,999</w:t>
      </w: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 w:val="0"/>
          <w:i w:val="0"/>
          <w:color w:val="6B7C93"/>
          <w:sz w:val="18"/>
          <w:u w:val="none"/>
        </w:rPr>
        <w:t>Medspas  ·  Gyms  ·  Chiro / PT  ·  Sports Teams  ·  Hotels  ·  Integrative Clinics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1B2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HOW TO USE THIS GUIDE</w:t>
            </w:r>
            <w:r>
              <w:rPr>
                <w:rFonts w:ascii="Calibri" w:hAnsi="Calibri"/>
                <w:b w:val="0"/>
                <w:i w:val="0"/>
                <w:color w:val="6B7C93"/>
                <w:sz w:val="18"/>
                <w:u w:val="none"/>
              </w:rPr>
              <w:br/>
              <w:t>Read this before you send a single message.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9864"/>
      </w:tblGrid>
      <w:tr>
        <w:tc>
          <w:tcPr>
            <w:tcW w:type="dxa" w:w="4986"/>
            <w:shd w:val="clear" w:color="auto" w:fill="C810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1.</w:t>
            </w:r>
          </w:p>
        </w:tc>
        <w:tc>
          <w:tcPr>
            <w:tcW w:type="dxa" w:w="4986"/>
            <w:shd w:val="clear" w:color="auto" w:fill="F7F9FC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22344A"/>
                <w:sz w:val="20"/>
                <w:u w:val="none"/>
              </w:rPr>
              <w:t xml:space="preserve">Personalise the first line.  </w:t>
            </w: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Every script has a [bracket]. That bracket is your job. Generic first lines get deleted. A specific observation about their business gets read.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9864"/>
      </w:tblGrid>
      <w:tr>
        <w:tc>
          <w:tcPr>
            <w:tcW w:type="dxa" w:w="4986"/>
            <w:shd w:val="clear" w:color="auto" w:fill="C810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2.</w:t>
            </w:r>
          </w:p>
        </w:tc>
        <w:tc>
          <w:tcPr>
            <w:tcW w:type="dxa" w:w="4986"/>
            <w:shd w:val="clear" w:color="auto" w:fill="F7F9FC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22344A"/>
                <w:sz w:val="20"/>
                <w:u w:val="none"/>
              </w:rPr>
              <w:t xml:space="preserve">One ask per message.  </w:t>
            </w: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The only CTA is a 10–15 minute call. Not a demo, not a proposal, not a decision. Lower the bar and conversion goes up.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9864"/>
      </w:tblGrid>
      <w:tr>
        <w:tc>
          <w:tcPr>
            <w:tcW w:type="dxa" w:w="4986"/>
            <w:shd w:val="clear" w:color="auto" w:fill="C810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3.</w:t>
            </w:r>
          </w:p>
        </w:tc>
        <w:tc>
          <w:tcPr>
            <w:tcW w:type="dxa" w:w="4986"/>
            <w:shd w:val="clear" w:color="auto" w:fill="F7F9FC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22344A"/>
                <w:sz w:val="20"/>
                <w:u w:val="none"/>
              </w:rPr>
              <w:t xml:space="preserve">Send the email first, text 48–72 hours later.  </w:t>
            </w: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Text messages cold are intrusive unless they reference something already sent. The email gives the text legitimacy.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9864"/>
      </w:tblGrid>
      <w:tr>
        <w:tc>
          <w:tcPr>
            <w:tcW w:type="dxa" w:w="4986"/>
            <w:shd w:val="clear" w:color="auto" w:fill="C810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4.</w:t>
            </w:r>
          </w:p>
        </w:tc>
        <w:tc>
          <w:tcPr>
            <w:tcW w:type="dxa" w:w="4986"/>
            <w:shd w:val="clear" w:color="auto" w:fill="F7F9FC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22344A"/>
                <w:sz w:val="20"/>
                <w:u w:val="none"/>
              </w:rPr>
              <w:t xml:space="preserve">Do not pitch the product.  </w:t>
            </w: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You are selling a conversation, not a Chamber. The product spec comes on the call. In the outreach, you are selling the business outcome.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9864"/>
      </w:tblGrid>
      <w:tr>
        <w:tc>
          <w:tcPr>
            <w:tcW w:type="dxa" w:w="4986"/>
            <w:shd w:val="clear" w:color="auto" w:fill="C810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5.</w:t>
            </w:r>
          </w:p>
        </w:tc>
        <w:tc>
          <w:tcPr>
            <w:tcW w:type="dxa" w:w="4986"/>
            <w:shd w:val="clear" w:color="auto" w:fill="F7F9FC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22344A"/>
                <w:sz w:val="20"/>
                <w:u w:val="none"/>
              </w:rPr>
              <w:t xml:space="preserve">Use the ROI model before you call.  </w:t>
            </w: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Run their numbers in the Excel calculator before outreach. When you say "at 6 sessions a day you're looking at payback in 8 months" and you're right, you sound like a consultant, not a salesperson.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9864"/>
      </w:tblGrid>
      <w:tr>
        <w:tc>
          <w:tcPr>
            <w:tcW w:type="dxa" w:w="4986"/>
            <w:shd w:val="clear" w:color="auto" w:fill="C810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6.</w:t>
            </w:r>
          </w:p>
        </w:tc>
        <w:tc>
          <w:tcPr>
            <w:tcW w:type="dxa" w:w="4986"/>
            <w:shd w:val="clear" w:color="auto" w:fill="F7F9FC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22344A"/>
                <w:sz w:val="20"/>
                <w:u w:val="none"/>
              </w:rPr>
              <w:t xml:space="preserve">Follow up exactly once at Day 3.  </w:t>
            </w: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The Day-3 follow-up is included for every vertical. After that, move on. Chasing more than twice signals desperation and damages the brand.</w:t>
            </w:r>
          </w:p>
        </w:tc>
      </w:tr>
    </w:tbl>
    <w:p>
      <w:pPr>
        <w:spacing w:before="0" w:after="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8102E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4"/>
                <w:u w:val="none"/>
              </w:rPr>
              <w:t xml:space="preserve">  1 / 6  ·  MEDSPA / AESTHETIC CLINIC  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9FC"/>
          </w:tcPr>
          <w:p>
            <w:pPr>
              <w:ind w:left="173"/>
            </w:pPr>
            <w:r>
              <w:rPr>
                <w:rFonts w:ascii="Calibri" w:hAnsi="Calibri"/>
                <w:b w:val="0"/>
                <w:i/>
                <w:color w:val="6B7C93"/>
                <w:sz w:val="18"/>
                <w:u w:val="none"/>
              </w:rPr>
              <w:t>Pain point: they have empty room hours and no passive revenue stream. Lens: ROI and revenue per square foot. Contact: Owner, Practice Manager, or Spa Director.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784"/>
      </w:tblGrid>
      <w:tr>
        <w:tc>
          <w:tcPr>
            <w:tcW w:type="dxa" w:w="4986"/>
            <w:shd w:val="clear" w:color="auto" w:fill="E8EC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B40"/>
                <w:sz w:val="16"/>
                <w:u w:val="none"/>
              </w:rPr>
              <w:t>SUBJECT A</w:t>
            </w:r>
          </w:p>
        </w:tc>
        <w:tc>
          <w:tcPr>
            <w:tcW w:type="dxa" w:w="4986"/>
            <w:shd w:val="clear" w:color="auto" w:fill="FFFFFF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22344A"/>
                <w:sz w:val="20"/>
                <w:u w:val="none"/>
              </w:rPr>
              <w:t>Adding a revenue line to [Clinic Name]</w:t>
            </w:r>
          </w:p>
        </w:tc>
      </w:tr>
      <w:tr>
        <w:tc>
          <w:tcPr>
            <w:tcW w:type="dxa" w:w="4986"/>
            <w:shd w:val="clear" w:color="auto" w:fill="E8EC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B40"/>
                <w:sz w:val="16"/>
                <w:u w:val="none"/>
              </w:rPr>
              <w:t>SUBJECT B</w:t>
            </w:r>
          </w:p>
        </w:tc>
        <w:tc>
          <w:tcPr>
            <w:tcW w:type="dxa" w:w="4986"/>
            <w:shd w:val="clear" w:color="auto" w:fill="FFFFFF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22344A"/>
                <w:sz w:val="20"/>
                <w:u w:val="none"/>
              </w:rPr>
              <w:t>Quick question about [Clinic Name]'s treatment menu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6FF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1A2B40"/>
                <w:sz w:val="16"/>
                <w:u w:val="none"/>
              </w:rPr>
              <w:t>EMAIL — COLD OUTREACH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Hi [First Name],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Most medspas in [City] are sitting on an untapped revenue line: full-body red light therapy sessions at $75–100 each, 15 minutes, zero staff interaction.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The AXRAH Chamber installs in any existing treatment room, runs autonomously, and pays for itself in under 9 months at moderate utilisation. Our clients typically add $6–10K/month in new revenue with no new hires.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Would it be useful if I pulled together a quick revenue model for [Clinic Name] specifically?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[Your Name]</w:t>
              <w:br/>
              <w:t>AXRAH</w:t>
            </w:r>
          </w:p>
          <w:p>
            <w:pPr>
              <w:spacing w:before="40" w:after="40"/>
              <w:ind w:left="216" w:right="216"/>
            </w:pP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BF5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007A4C"/>
                <w:sz w:val="16"/>
                <w:u w:val="none"/>
              </w:rPr>
              <w:t>TEXT / SMS — send 48–72 hrs after email</w:t>
            </w: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Hi [First Name], [Your Name] from AXRAH. Quick one — is [Clinic Name] offering full-body red light therapy? Our medspa clients are adding $6–10K/month with zero extra staff. Worth a 10-min call?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7FF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5A208A"/>
                <w:sz w:val="16"/>
                <w:u w:val="none"/>
              </w:rPr>
              <w:t>DAY-3 EMAIL FOLLOW-UP — reply to the original thread</w:t>
            </w: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Hi [First Name] — just bumping this up in case it got buried. I put together a quick revenue model for a medspa your size in [City] — happy to share, takes 5 minutes. Still the right person to speak to?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5EC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8A5000"/>
                <w:sz w:val="16"/>
                <w:u w:val="none"/>
              </w:rPr>
              <w:t>HOW TO PERSONALISE</w:t>
            </w:r>
          </w:p>
          <w:p>
            <w:pPr>
              <w:ind w:left="360" w:right="216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Mention a specific treatment they already offer (e.g. "I see you do CoolSculpting — clients who do body treatments are the exact profile who book red light.")</w:t>
            </w:r>
          </w:p>
          <w:p>
            <w:pPr>
              <w:ind w:left="360" w:right="216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Reference their location if you know the competitive set ("Three medspas in [neighbourhood] have added RLT in the last 6 months.")</w:t>
            </w:r>
          </w:p>
          <w:p>
            <w:pPr>
              <w:ind w:left="360" w:right="216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Use their Google review count as a proxy for volume ("With [X] reviews, you're clearly doing strong session volume already.")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2B40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4"/>
                <w:u w:val="none"/>
              </w:rPr>
              <w:t xml:space="preserve">  2 / 6  ·  GYM / PERFORMANCE CENTER  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9FC"/>
          </w:tcPr>
          <w:p>
            <w:pPr>
              <w:ind w:left="173"/>
            </w:pPr>
            <w:r>
              <w:rPr>
                <w:rFonts w:ascii="Calibri" w:hAnsi="Calibri"/>
                <w:b w:val="0"/>
                <w:i/>
                <w:color w:val="6B7C93"/>
                <w:sz w:val="18"/>
                <w:u w:val="none"/>
              </w:rPr>
              <w:t>Pain point: losing recovery revenue to medspas. Lens: new revenue without new staff or square footage changes. Contact: Owner, General Manager, or Head of Performance.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784"/>
      </w:tblGrid>
      <w:tr>
        <w:tc>
          <w:tcPr>
            <w:tcW w:type="dxa" w:w="4986"/>
            <w:shd w:val="clear" w:color="auto" w:fill="E8EC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B40"/>
                <w:sz w:val="16"/>
                <w:u w:val="none"/>
              </w:rPr>
              <w:t>SUBJECT A</w:t>
            </w:r>
          </w:p>
        </w:tc>
        <w:tc>
          <w:tcPr>
            <w:tcW w:type="dxa" w:w="4986"/>
            <w:shd w:val="clear" w:color="auto" w:fill="FFFFFF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22344A"/>
                <w:sz w:val="20"/>
                <w:u w:val="none"/>
              </w:rPr>
              <w:t>The recovery revenue [Gym Name] isn't capturing</w:t>
            </w:r>
          </w:p>
        </w:tc>
      </w:tr>
      <w:tr>
        <w:tc>
          <w:tcPr>
            <w:tcW w:type="dxa" w:w="4986"/>
            <w:shd w:val="clear" w:color="auto" w:fill="E8EC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B40"/>
                <w:sz w:val="16"/>
                <w:u w:val="none"/>
              </w:rPr>
              <w:t>SUBJECT B</w:t>
            </w:r>
          </w:p>
        </w:tc>
        <w:tc>
          <w:tcPr>
            <w:tcW w:type="dxa" w:w="4986"/>
            <w:shd w:val="clear" w:color="auto" w:fill="FFFFFF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22344A"/>
                <w:sz w:val="20"/>
                <w:u w:val="none"/>
              </w:rPr>
              <w:t>Your members are paying your competitor for recovery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6FF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1A2B40"/>
                <w:sz w:val="16"/>
                <w:u w:val="none"/>
              </w:rPr>
              <w:t>EMAIL — COLD OUTREACH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Hi [First Name],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Recovery is the fastest-growing upsell in performance fitness — and most gym owners watch their members drive to a medspa for it instead of spending that money in-house.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The AXRAH Chamber installs in any recovery room, runs autonomously, and generates $50–100 per 15-minute session. No new hires. Most operators hit break-even in under 12 months.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Can I send you a quick revenue model built around [Gym Name]'s session capacity?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[Your Name]</w:t>
              <w:br/>
              <w:t>AXRAH</w:t>
            </w:r>
          </w:p>
          <w:p>
            <w:pPr>
              <w:spacing w:before="40" w:after="40"/>
              <w:ind w:left="216" w:right="216"/>
            </w:pP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BF5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007A4C"/>
                <w:sz w:val="16"/>
                <w:u w:val="none"/>
              </w:rPr>
              <w:t>TEXT / SMS — send 48–72 hrs after email</w:t>
            </w: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Hi [First Name], [Your Name] at AXRAH. Are [Gym Name] members asking about red light therapy? We help gyms capture $5–8K/month in recovery revenue they're currently sending elsewhere. 10-min call?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7FF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5A208A"/>
                <w:sz w:val="16"/>
                <w:u w:val="none"/>
              </w:rPr>
              <w:t>DAY-3 EMAIL FOLLOW-UP — reply to the original thread</w:t>
            </w: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Hi [First Name] — following up from a few days ago. I built a quick revenue model for a gym your size — happy to walk you through it in under 10 minutes. Worth a look?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5EC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8A5000"/>
                <w:sz w:val="16"/>
                <w:u w:val="none"/>
              </w:rPr>
              <w:t>HOW TO PERSONALISE</w:t>
            </w:r>
          </w:p>
          <w:p>
            <w:pPr>
              <w:ind w:left="360" w:right="216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Reference their class types ("Seeing you run a lot of HIIT and weightlifting — those members are your highest-intent recovery buyers.")</w:t>
            </w:r>
          </w:p>
          <w:p>
            <w:pPr>
              <w:ind w:left="360" w:right="216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Mention their membership size if visible ("A gym with [X] members typically converts 8–12% to recovery sessions.")</w:t>
            </w:r>
          </w:p>
          <w:p>
            <w:pPr>
              <w:ind w:left="360" w:right="216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Acknowledge existing recovery offerings ("If you already have cold plunge or sauna, RLT completes the stack — clients use all three.")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A5278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4"/>
                <w:u w:val="none"/>
              </w:rPr>
              <w:t xml:space="preserve">  3 / 6  ·  CHIROPRACTIC / PHYSICAL THERAPY  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9FC"/>
          </w:tcPr>
          <w:p>
            <w:pPr>
              <w:ind w:left="173"/>
            </w:pPr>
            <w:r>
              <w:rPr>
                <w:rFonts w:ascii="Calibri" w:hAnsi="Calibri"/>
                <w:b w:val="0"/>
                <w:i/>
                <w:color w:val="6B7C93"/>
                <w:sz w:val="18"/>
                <w:u w:val="none"/>
              </w:rPr>
              <w:t>Pain point: aware of clinical PBM but priced out by NovoTHOR/TheraLight. Lens: clinical credibility + ROI within practice. Contact: Practice Owner or Clinical Director.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784"/>
      </w:tblGrid>
      <w:tr>
        <w:tc>
          <w:tcPr>
            <w:tcW w:type="dxa" w:w="4986"/>
            <w:shd w:val="clear" w:color="auto" w:fill="E8EC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B40"/>
                <w:sz w:val="16"/>
                <w:u w:val="none"/>
              </w:rPr>
              <w:t>SUBJECT A</w:t>
            </w:r>
          </w:p>
        </w:tc>
        <w:tc>
          <w:tcPr>
            <w:tcW w:type="dxa" w:w="4986"/>
            <w:shd w:val="clear" w:color="auto" w:fill="FFFFFF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22344A"/>
                <w:sz w:val="20"/>
                <w:u w:val="none"/>
              </w:rPr>
              <w:t>Clinical-grade PBM at 1/3 the price of NovoTHOR</w:t>
            </w:r>
          </w:p>
        </w:tc>
      </w:tr>
      <w:tr>
        <w:tc>
          <w:tcPr>
            <w:tcW w:type="dxa" w:w="4986"/>
            <w:shd w:val="clear" w:color="auto" w:fill="E8EC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B40"/>
                <w:sz w:val="16"/>
                <w:u w:val="none"/>
              </w:rPr>
              <w:t>SUBJECT B</w:t>
            </w:r>
          </w:p>
        </w:tc>
        <w:tc>
          <w:tcPr>
            <w:tcW w:type="dxa" w:w="4986"/>
            <w:shd w:val="clear" w:color="auto" w:fill="FFFFFF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22344A"/>
                <w:sz w:val="20"/>
                <w:u w:val="none"/>
              </w:rPr>
              <w:t>Full-body photobiomodulation — without the $65K price tag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6FF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1A2B40"/>
                <w:sz w:val="16"/>
                <w:u w:val="none"/>
              </w:rPr>
              <w:t>EMAIL — COLD OUTREACH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Hi [First Name],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If you've looked at NovoTHOR or TheraLight and stepped back because of the price, the AXRAH Chamber delivers clinical-grade whole-body PBM at approximately $17K — with five wavelengths versus NovoTHOR's two.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Most of our chiro and PT clients add $4–8K/month in session revenue and recover the device cost within the first year. Recent RCT data on PBM and cognitive recovery has also opened new patient conversations.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Happy to send the spec comparison and a revenue model for a practice your size — would that be useful?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[Your Name]</w:t>
              <w:br/>
              <w:t>AXRAH</w:t>
            </w:r>
          </w:p>
          <w:p>
            <w:pPr>
              <w:spacing w:before="40" w:after="40"/>
              <w:ind w:left="216" w:right="216"/>
            </w:pP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BF5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007A4C"/>
                <w:sz w:val="16"/>
                <w:u w:val="none"/>
              </w:rPr>
              <w:t>TEXT / SMS — send 48–72 hrs after email</w:t>
            </w: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Hi [First Name], [Your Name] from AXRAH. Have you looked at full-body PBM for [Practice Name]? Clinical-grade, 5 wavelengths, ~$17K vs NovoTHOR's $65K+. Most practices recover cost in &lt;12 months. Worth a quick call?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7FF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5A208A"/>
                <w:sz w:val="16"/>
                <w:u w:val="none"/>
              </w:rPr>
              <w:t>DAY-3 EMAIL FOLLOW-UP — reply to the original thread</w:t>
            </w: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Hi [First Name] — following up on my note about full-body PBM. I put together a side-by-side of AXRAH vs NovoTHOR and a simple revenue model. Happy to share — still relevant for [Practice Name]?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5EC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8A5000"/>
                <w:sz w:val="16"/>
                <w:u w:val="none"/>
              </w:rPr>
              <w:t>HOW TO PERSONALISE</w:t>
            </w:r>
          </w:p>
          <w:p>
            <w:pPr>
              <w:ind w:left="360" w:right="216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Reference their specific speciality ("Seeing you focus on sports rehab — the muscle recovery and cognitive performance data on PBM is directly relevant for your athlete patients.")</w:t>
            </w:r>
          </w:p>
          <w:p>
            <w:pPr>
              <w:ind w:left="360" w:right="216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Mention CPT billing if relevant to their market ("Depending on your payer mix, some practices are billing PBM sessions — happy to share what we've seen.")</w:t>
            </w:r>
          </w:p>
          <w:p>
            <w:pPr>
              <w:ind w:left="360" w:right="216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Reference their equipment ("Practitioners with laser/shockwave therapy typically see the strongest patient uptake for PBM as a complement.")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0521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4"/>
                <w:u w:val="none"/>
              </w:rPr>
              <w:t xml:space="preserve">  4 / 6  ·  SPORTS TEAM — ATHLETIC / PERFORMANCE DIRECTOR  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9FC"/>
          </w:tcPr>
          <w:p>
            <w:pPr>
              <w:ind w:left="173"/>
            </w:pPr>
            <w:r>
              <w:rPr>
                <w:rFonts w:ascii="Calibri" w:hAnsi="Calibri"/>
                <w:b w:val="0"/>
                <w:i/>
                <w:color w:val="6B7C93"/>
                <w:sz w:val="18"/>
                <w:u w:val="none"/>
              </w:rPr>
              <w:t>Pain point: recovery throughput and edge in cognitive performance. Lens: competitive advantage + ROI vs NovoTHOR budget. Contact: Head of Athletic Training, Performance Director, or GM.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784"/>
      </w:tblGrid>
      <w:tr>
        <w:tc>
          <w:tcPr>
            <w:tcW w:type="dxa" w:w="4986"/>
            <w:shd w:val="clear" w:color="auto" w:fill="E8EC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B40"/>
                <w:sz w:val="16"/>
                <w:u w:val="none"/>
              </w:rPr>
              <w:t>SUBJECT A</w:t>
            </w:r>
          </w:p>
        </w:tc>
        <w:tc>
          <w:tcPr>
            <w:tcW w:type="dxa" w:w="4986"/>
            <w:shd w:val="clear" w:color="auto" w:fill="FFFFFF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22344A"/>
                <w:sz w:val="20"/>
                <w:u w:val="none"/>
              </w:rPr>
              <w:t>Recovery + cognitive performance for [Team Name]</w:t>
            </w:r>
          </w:p>
        </w:tc>
      </w:tr>
      <w:tr>
        <w:tc>
          <w:tcPr>
            <w:tcW w:type="dxa" w:w="4986"/>
            <w:shd w:val="clear" w:color="auto" w:fill="E8EC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B40"/>
                <w:sz w:val="16"/>
                <w:u w:val="none"/>
              </w:rPr>
              <w:t>SUBJECT B</w:t>
            </w:r>
          </w:p>
        </w:tc>
        <w:tc>
          <w:tcPr>
            <w:tcW w:type="dxa" w:w="4986"/>
            <w:shd w:val="clear" w:color="auto" w:fill="FFFFFF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22344A"/>
                <w:sz w:val="20"/>
                <w:u w:val="none"/>
              </w:rPr>
              <w:t>What the top performance programs are adding to their recovery stack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6FF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1A2B40"/>
                <w:sz w:val="16"/>
                <w:u w:val="none"/>
              </w:rPr>
              <w:t>EMAIL — COLD OUTREACH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Hi [First Name],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New clinical data shows whole-body near-infrared PBM significantly improves cognitive scores over 12 weeks — on top of the established muscle recovery and inflammation reduction benefits. It's becoming a serious tool for performance programs that want an edge beyond standard recovery protocols.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The AXRAH Chamber Ultra gives athletes full-body treatment across five wavelengths in a single 15-minute session. It's what performance centers are choosing instead of NovoTHOR — same clinical-grade output, approximately 1/3 the price.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Would a 15-minute call with your performance staff be worth arranging?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[Your Name]</w:t>
              <w:br/>
              <w:t>AXRAH</w:t>
            </w:r>
          </w:p>
          <w:p>
            <w:pPr>
              <w:spacing w:before="40" w:after="40"/>
              <w:ind w:left="216" w:right="216"/>
            </w:pP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BF5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007A4C"/>
                <w:sz w:val="16"/>
                <w:u w:val="none"/>
              </w:rPr>
              <w:t>TEXT / SMS — send 48–72 hrs after email</w:t>
            </w: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Hi [First Name], [Your Name] from AXRAH. We work with performance programs on whole-body red light therapy — recovery + cognitive performance in 15 min/session. Clinical-grade, used instead of NovoTHOR at 1/3 the cost. Worth a quick call?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7FF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5A208A"/>
                <w:sz w:val="16"/>
                <w:u w:val="none"/>
              </w:rPr>
              <w:t>DAY-3 EMAIL FOLLOW-UP — reply to the original thread</w:t>
            </w: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Hi [First Name] — checking back in. Happy to share the cognitive performance clinical data and a spec sheet built for sports performance environments. Still the right contact for this at [Team Name]?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5EC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8A5000"/>
                <w:sz w:val="16"/>
                <w:u w:val="none"/>
              </w:rPr>
              <w:t>HOW TO PERSONALISE</w:t>
            </w:r>
          </w:p>
          <w:p>
            <w:pPr>
              <w:ind w:left="360" w:right="216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Reference their sport and season ("Coming into pre-season camp, recovery throughput is typically the constraint — the Chamber processes a full squad in under 2 hours.")</w:t>
            </w:r>
          </w:p>
          <w:p>
            <w:pPr>
              <w:ind w:left="360" w:right="216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Name a competitor or peer program ("Several [league] programs have installed whole-body PBM in the last 18 months — happy to share which if useful.")</w:t>
            </w:r>
          </w:p>
          <w:p>
            <w:pPr>
              <w:ind w:left="360" w:right="216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Acknowledge existing setup ("If you already have cold plunge and compression, PBM is the piece that addresses the cellular recovery layer those tools miss.")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5A3E00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4"/>
                <w:u w:val="none"/>
              </w:rPr>
              <w:t xml:space="preserve">  5 / 6  ·  HOTEL / RESORT SPA  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9FC"/>
          </w:tcPr>
          <w:p>
            <w:pPr>
              <w:ind w:left="173"/>
            </w:pPr>
            <w:r>
              <w:rPr>
                <w:rFonts w:ascii="Calibri" w:hAnsi="Calibri"/>
                <w:b w:val="0"/>
                <w:i/>
                <w:color w:val="6B7C93"/>
                <w:sz w:val="18"/>
                <w:u w:val="none"/>
              </w:rPr>
              <w:t>Pain point: undifferentiated spa menu, pressure to add premium amenities. Lens: signature treatment + high revenue per minute. Contact: Spa Director, Director of Wellness, or F&amp;B/Amenities GM.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784"/>
      </w:tblGrid>
      <w:tr>
        <w:tc>
          <w:tcPr>
            <w:tcW w:type="dxa" w:w="4986"/>
            <w:shd w:val="clear" w:color="auto" w:fill="E8EC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B40"/>
                <w:sz w:val="16"/>
                <w:u w:val="none"/>
              </w:rPr>
              <w:t>SUBJECT A</w:t>
            </w:r>
          </w:p>
        </w:tc>
        <w:tc>
          <w:tcPr>
            <w:tcW w:type="dxa" w:w="4986"/>
            <w:shd w:val="clear" w:color="auto" w:fill="FFFFFF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22344A"/>
                <w:sz w:val="20"/>
                <w:u w:val="none"/>
              </w:rPr>
              <w:t>A signature $100/session add-on for [Hotel Name]'s spa</w:t>
            </w:r>
          </w:p>
        </w:tc>
      </w:tr>
      <w:tr>
        <w:tc>
          <w:tcPr>
            <w:tcW w:type="dxa" w:w="4986"/>
            <w:shd w:val="clear" w:color="auto" w:fill="E8EC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B40"/>
                <w:sz w:val="16"/>
                <w:u w:val="none"/>
              </w:rPr>
              <w:t>SUBJECT B</w:t>
            </w:r>
          </w:p>
        </w:tc>
        <w:tc>
          <w:tcPr>
            <w:tcW w:type="dxa" w:w="4986"/>
            <w:shd w:val="clear" w:color="auto" w:fill="FFFFFF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22344A"/>
                <w:sz w:val="20"/>
                <w:u w:val="none"/>
              </w:rPr>
              <w:t>What [Hotel Name]'s spa competitors are already offering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6FF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1A2B40"/>
                <w:sz w:val="16"/>
                <w:u w:val="none"/>
              </w:rPr>
              <w:t>EMAIL — COLD OUTREACH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Hi [First Name],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Full-body red light therapy is becoming the premium wellness amenity that 4-star+ spa directors are adding to their menus — $75–120 per 15-minute session, no consumables, no therapist required.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The AXRAH Chamber Ultra is clinical-grade and visually striking — it positions naturally as a signature treatment rather than a commodity service. Five wavelengths, programmable protocols, multi-language touchscreen for international guests.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Could we arrange a 15-minute call to walk through how it fits [Hotel Name]'s wellness offering?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[Your Name]</w:t>
              <w:br/>
              <w:t>AXRAH</w:t>
            </w:r>
          </w:p>
          <w:p>
            <w:pPr>
              <w:spacing w:before="40" w:after="40"/>
              <w:ind w:left="216" w:right="216"/>
            </w:pP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BF5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007A4C"/>
                <w:sz w:val="16"/>
                <w:u w:val="none"/>
              </w:rPr>
              <w:t>TEXT / SMS — send 48–72 hrs after email</w:t>
            </w: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Hi [First Name], [Your Name] from AXRAH. Is [Hotel Name]'s spa considering full-body red light therapy? We're placing clinical-grade Chambers with luxury hotel spas at $75–120/session. Happy to share details — worth 15 min?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7FF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5A208A"/>
                <w:sz w:val="16"/>
                <w:u w:val="none"/>
              </w:rPr>
              <w:t>DAY-3 EMAIL FOLLOW-UP — reply to the original thread</w:t>
            </w: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Hi [First Name] — following up on the red light therapy note. Happy to send a one-page overview of how other luxury properties are positioning it as a signature treatment. Useful?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5EC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8A5000"/>
                <w:sz w:val="16"/>
                <w:u w:val="none"/>
              </w:rPr>
              <w:t>HOW TO PERSONALISE</w:t>
            </w:r>
          </w:p>
          <w:p>
            <w:pPr>
              <w:ind w:left="360" w:right="216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Reference their star rating or brand positioning ("Given [Hotel Name]'s 5-star positioning, the Chamber Ultra's design and spec level are the right fit — the standard Chamber is better suited to a more utilitarian wellness space.")</w:t>
            </w:r>
          </w:p>
          <w:p>
            <w:pPr>
              <w:ind w:left="360" w:right="216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Mention their existing spa menu ("I see you offer [treatment] — red light complements that well as a pre- or post-treatment protocol.")</w:t>
            </w:r>
          </w:p>
          <w:p>
            <w:pPr>
              <w:ind w:left="360" w:right="216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Reference guest demographics ("A resort with your international guest mix benefits from the multi-language interface — EN/DE/FR/IT/ES out of the box.")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2A5C4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4"/>
                <w:u w:val="none"/>
              </w:rPr>
              <w:t xml:space="preserve">  6 / 6  ·  INTEGRATIVE / LONGEVITY CLINIC  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9FC"/>
          </w:tcPr>
          <w:p>
            <w:pPr>
              <w:ind w:left="173"/>
            </w:pPr>
            <w:r>
              <w:rPr>
                <w:rFonts w:ascii="Calibri" w:hAnsi="Calibri"/>
                <w:b w:val="0"/>
                <w:i/>
                <w:color w:val="6B7C93"/>
                <w:sz w:val="18"/>
                <w:u w:val="none"/>
              </w:rPr>
              <w:t>Pain point: clients asking about PBM stacking; gap in protocol menu. Lens: premium protocol bundle + mitochondrial science. Contact: Medical Director, Clinic Owner, or Head of Protocols.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784"/>
      </w:tblGrid>
      <w:tr>
        <w:tc>
          <w:tcPr>
            <w:tcW w:type="dxa" w:w="4986"/>
            <w:shd w:val="clear" w:color="auto" w:fill="E8EC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B40"/>
                <w:sz w:val="16"/>
                <w:u w:val="none"/>
              </w:rPr>
              <w:t>SUBJECT A</w:t>
            </w:r>
          </w:p>
        </w:tc>
        <w:tc>
          <w:tcPr>
            <w:tcW w:type="dxa" w:w="4986"/>
            <w:shd w:val="clear" w:color="auto" w:fill="FFFFFF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22344A"/>
                <w:sz w:val="20"/>
                <w:u w:val="none"/>
              </w:rPr>
              <w:t>Stacking PBM with your existing protocols — the revenue case</w:t>
            </w:r>
          </w:p>
        </w:tc>
      </w:tr>
      <w:tr>
        <w:tc>
          <w:tcPr>
            <w:tcW w:type="dxa" w:w="4986"/>
            <w:shd w:val="clear" w:color="auto" w:fill="E8EC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B40"/>
                <w:sz w:val="16"/>
                <w:u w:val="none"/>
              </w:rPr>
              <w:t>SUBJECT B</w:t>
            </w:r>
          </w:p>
        </w:tc>
        <w:tc>
          <w:tcPr>
            <w:tcW w:type="dxa" w:w="4986"/>
            <w:shd w:val="clear" w:color="auto" w:fill="FFFFFF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22344A"/>
                <w:sz w:val="20"/>
                <w:u w:val="none"/>
              </w:rPr>
              <w:t>Full-body red light + your IV and peptide protocols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6FF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1A2B40"/>
                <w:sz w:val="16"/>
                <w:u w:val="none"/>
              </w:rPr>
              <w:t>EMAIL — COLD OUTREACH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Hi [First Name],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Your clients on methylene blue or NAD+ IVs are increasingly asking about stacking with photobiomodulation — the data on combined mitochondrial activation is compelling, and the protocol is starting to become a differentiator for the clinics that offer it.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The AXRAH Chamber Ultra is what integrative clinics are installing to offer a premium PBM + MB protocol at $150–200 per combined session. Five wavelengths, programmable pulse frequencies, clinical-grade irradiance.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Would a quick call make sense to explore how it fits your current protocol menu?</w:t>
            </w:r>
          </w:p>
          <w:p>
            <w:pPr>
              <w:spacing w:before="40" w:after="40"/>
              <w:ind w:left="216" w:right="216"/>
            </w:pP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[Your Name]</w:t>
              <w:br/>
              <w:t>AXRAH</w:t>
            </w:r>
          </w:p>
          <w:p>
            <w:pPr>
              <w:spacing w:before="40" w:after="40"/>
              <w:ind w:left="216" w:right="216"/>
            </w:pP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BF5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007A4C"/>
                <w:sz w:val="16"/>
                <w:u w:val="none"/>
              </w:rPr>
              <w:t>TEXT / SMS — send 48–72 hrs after email</w:t>
            </w: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Hi [First Name], [Your Name] from AXRAH. Are your clients asking about red light stacking with their IV protocols? We work with integrative clinics on PBM + MB stacks at $150–200/session. Worth a quick call?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7FF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5A208A"/>
                <w:sz w:val="16"/>
                <w:u w:val="none"/>
              </w:rPr>
              <w:t>DAY-3 EMAIL FOLLOW-UP — reply to the original thread</w:t>
            </w:r>
          </w:p>
          <w:p>
            <w:pPr>
              <w:ind w:left="216" w:right="216"/>
            </w:pPr>
            <w:r>
              <w:rPr>
                <w:rFonts w:ascii="Calibri" w:hAnsi="Calibri"/>
                <w:b w:val="0"/>
                <w:i w:val="0"/>
                <w:color w:val="22344A"/>
                <w:sz w:val="20"/>
                <w:u w:val="none"/>
              </w:rPr>
              <w:t>Hi [First Name] — just following up. Happy to share a protocol guide and revenue model for the PBM + MB stack specifically. Still on your radar for [Clinic Name]?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5EC"/>
          </w:tcPr>
          <w:p>
            <w:pPr>
              <w:ind w:left="216"/>
            </w:pPr>
            <w:r>
              <w:rPr>
                <w:rFonts w:ascii="Calibri" w:hAnsi="Calibri"/>
                <w:b/>
                <w:i w:val="0"/>
                <w:color w:val="8A5000"/>
                <w:sz w:val="16"/>
                <w:u w:val="none"/>
              </w:rPr>
              <w:t>HOW TO PERSONALISE</w:t>
            </w:r>
          </w:p>
          <w:p>
            <w:pPr>
              <w:ind w:left="360" w:right="216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Reference specific protocols they advertise ("Seeing you offer NAD+ IV — that's exactly the client profile who asks about PBM. The mitochondrial activation overlap is the key conversation.")</w:t>
            </w:r>
          </w:p>
          <w:p>
            <w:pPr>
              <w:ind w:left="360" w:right="216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Name the science angle ("The methylene blue + PBM combination is getting serious attention in the longevity community right now — Bryan Johnson's protocol circle is talking about it.")</w:t>
            </w:r>
          </w:p>
          <w:p>
            <w:pPr>
              <w:ind w:left="360" w:right="216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Reference their pricing ("At your IV pricing, a $150–200 PBM stack session fits your client spend profile without friction.")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1B2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OBJECTION HANDLING</w:t>
            </w:r>
            <w:r>
              <w:rPr>
                <w:rFonts w:ascii="Calibri" w:hAnsi="Calibri"/>
                <w:b w:val="0"/>
                <w:i w:val="0"/>
                <w:color w:val="6B7C93"/>
                <w:sz w:val="18"/>
                <w:u w:val="none"/>
              </w:rPr>
              <w:br/>
              <w:t>These are for the first call, not the email. Have them ready.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768"/>
      </w:tblGrid>
      <w:tr>
        <w:tc>
          <w:tcPr>
            <w:tcW w:type="dxa" w:w="4986"/>
            <w:shd w:val="clear" w:color="auto" w:fill="FFF0F2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>"We're not interested."</w:t>
            </w:r>
          </w:p>
        </w:tc>
        <w:tc>
          <w:tcPr>
            <w:tcW w:type="dxa" w:w="4986"/>
            <w:shd w:val="clear" w:color="auto" w:fill="F7F9FC"/>
          </w:tcPr>
          <w:p>
            <w:pPr>
              <w:ind w:left="144" w:right="144"/>
            </w:pPr>
            <w:r>
              <w:rPr>
                <w:rFonts w:ascii="Calibri" w:hAnsi="Calibri"/>
                <w:b w:val="0"/>
                <w:i w:val="0"/>
                <w:color w:val="22344A"/>
                <w:sz w:val="19"/>
                <w:u w:val="none"/>
              </w:rPr>
              <w:t>Completely understand. Would it be okay if I sent a one-page overview for when the timing changes? These conversations tend to come back around — and when they do, it's usually after a competitor has installed one.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768"/>
      </w:tblGrid>
      <w:tr>
        <w:tc>
          <w:tcPr>
            <w:tcW w:type="dxa" w:w="4986"/>
            <w:shd w:val="clear" w:color="auto" w:fill="FFF0F2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>"We already have a red light panel / device."</w:t>
            </w:r>
          </w:p>
        </w:tc>
        <w:tc>
          <w:tcPr>
            <w:tcW w:type="dxa" w:w="4986"/>
            <w:shd w:val="clear" w:color="auto" w:fill="F7F9FC"/>
          </w:tcPr>
          <w:p>
            <w:pPr>
              <w:ind w:left="144" w:right="144"/>
            </w:pPr>
            <w:r>
              <w:rPr>
                <w:rFonts w:ascii="Calibri" w:hAnsi="Calibri"/>
                <w:b w:val="0"/>
                <w:i w:val="0"/>
                <w:color w:val="22344A"/>
                <w:sz w:val="19"/>
                <w:u w:val="none"/>
              </w:rPr>
              <w:t>Good to know — actually most of our clients who came from panels saw a 3–4x jump in utilisation and revenue when they moved to a full-body chamber. The session experience is different enough that clients treat it as a separate service. Happy to share a quick comparison if useful?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768"/>
      </w:tblGrid>
      <w:tr>
        <w:tc>
          <w:tcPr>
            <w:tcW w:type="dxa" w:w="4986"/>
            <w:shd w:val="clear" w:color="auto" w:fill="FFF0F2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>"It's too expensive / not in the budget."</w:t>
            </w:r>
          </w:p>
        </w:tc>
        <w:tc>
          <w:tcPr>
            <w:tcW w:type="dxa" w:w="4986"/>
            <w:shd w:val="clear" w:color="auto" w:fill="F7F9FC"/>
          </w:tcPr>
          <w:p>
            <w:pPr>
              <w:ind w:left="144" w:right="144"/>
            </w:pPr>
            <w:r>
              <w:rPr>
                <w:rFonts w:ascii="Calibri" w:hAnsi="Calibri"/>
                <w:b w:val="0"/>
                <w:i w:val="0"/>
                <w:color w:val="22344A"/>
                <w:sz w:val="19"/>
                <w:u w:val="none"/>
              </w:rPr>
              <w:t>I hear that a lot — the number that usually shifts the conversation is the payback period. At [X sessions/week] and $[Y]/session, you're typically looking at break-even in [Z] months. Want me to run those exact numbers for your volume before you decide?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768"/>
      </w:tblGrid>
      <w:tr>
        <w:tc>
          <w:tcPr>
            <w:tcW w:type="dxa" w:w="4986"/>
            <w:shd w:val="clear" w:color="auto" w:fill="FFF0F2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>"We need to think about it / not ready yet."</w:t>
            </w:r>
          </w:p>
        </w:tc>
        <w:tc>
          <w:tcPr>
            <w:tcW w:type="dxa" w:w="4986"/>
            <w:shd w:val="clear" w:color="auto" w:fill="F7F9FC"/>
          </w:tcPr>
          <w:p>
            <w:pPr>
              <w:ind w:left="144" w:right="144"/>
            </w:pPr>
            <w:r>
              <w:rPr>
                <w:rFonts w:ascii="Calibri" w:hAnsi="Calibri"/>
                <w:b w:val="0"/>
                <w:i w:val="0"/>
                <w:color w:val="22344A"/>
                <w:sz w:val="19"/>
                <w:u w:val="none"/>
              </w:rPr>
              <w:t>Of course. What would need to be true for this to be a priority in the next quarter? I want to make sure I come back at the right time with the right information — not just to check in.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768"/>
      </w:tblGrid>
      <w:tr>
        <w:tc>
          <w:tcPr>
            <w:tcW w:type="dxa" w:w="4986"/>
            <w:shd w:val="clear" w:color="auto" w:fill="FFF0F2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>"Send me some information."</w:t>
            </w:r>
          </w:p>
        </w:tc>
        <w:tc>
          <w:tcPr>
            <w:tcW w:type="dxa" w:w="4986"/>
            <w:shd w:val="clear" w:color="auto" w:fill="F7F9FC"/>
          </w:tcPr>
          <w:p>
            <w:pPr>
              <w:ind w:left="144" w:right="144"/>
            </w:pPr>
            <w:r>
              <w:rPr>
                <w:rFonts w:ascii="Calibri" w:hAnsi="Calibri"/>
                <w:b w:val="0"/>
                <w:i w:val="0"/>
                <w:color w:val="22344A"/>
                <w:sz w:val="19"/>
                <w:u w:val="none"/>
              </w:rPr>
              <w:t>Absolutely — before I do, quick question: what's your current session capacity and what are you typically charging per treatment? I'll tailor the revenue model to your numbers so it's actually useful rather than generic.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768"/>
      </w:tblGrid>
      <w:tr>
        <w:tc>
          <w:tcPr>
            <w:tcW w:type="dxa" w:w="4986"/>
            <w:shd w:val="clear" w:color="auto" w:fill="FFF0F2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>"We already have a NovoTHOR."</w:t>
            </w:r>
          </w:p>
        </w:tc>
        <w:tc>
          <w:tcPr>
            <w:tcW w:type="dxa" w:w="4986"/>
            <w:shd w:val="clear" w:color="auto" w:fill="F7F9FC"/>
          </w:tcPr>
          <w:p>
            <w:pPr>
              <w:ind w:left="144" w:right="144"/>
            </w:pPr>
            <w:r>
              <w:rPr>
                <w:rFonts w:ascii="Calibri" w:hAnsi="Calibri"/>
                <w:b w:val="0"/>
                <w:i w:val="0"/>
                <w:color w:val="22344A"/>
                <w:sz w:val="19"/>
                <w:u w:val="none"/>
              </w:rPr>
              <w:t>That's great — you're clearly already committed to clinical PBM at the highest level. Two questions: are you running at full utilisation? And do you have a second location or expansion planned? Some of our NovoTHOR clients add a Chamber to handle overflow demand or as a lower-price-point entry for a new site.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768"/>
      </w:tblGrid>
      <w:tr>
        <w:tc>
          <w:tcPr>
            <w:tcW w:type="dxa" w:w="4986"/>
            <w:shd w:val="clear" w:color="auto" w:fill="FFF0F2"/>
          </w:tcPr>
          <w:p>
            <w:pPr>
              <w:ind w:left="144"/>
            </w:pPr>
            <w:r>
              <w:rPr>
                <w:rFonts w:ascii="Calibri" w:hAnsi="Calibri"/>
                <w:b/>
                <w:i w:val="0"/>
                <w:color w:val="C8102E"/>
                <w:sz w:val="18"/>
                <w:u w:val="none"/>
              </w:rPr>
              <w:t>"I've never heard of AXRAH."</w:t>
            </w:r>
          </w:p>
        </w:tc>
        <w:tc>
          <w:tcPr>
            <w:tcW w:type="dxa" w:w="4986"/>
            <w:shd w:val="clear" w:color="auto" w:fill="F7F9FC"/>
          </w:tcPr>
          <w:p>
            <w:pPr>
              <w:ind w:left="144" w:right="144"/>
            </w:pPr>
            <w:r>
              <w:rPr>
                <w:rFonts w:ascii="Calibri" w:hAnsi="Calibri"/>
                <w:b w:val="0"/>
                <w:i w:val="0"/>
                <w:color w:val="22344A"/>
                <w:sz w:val="19"/>
                <w:u w:val="none"/>
              </w:rPr>
              <w:t>That's fair — we're a newer entrant in a market that's been dominated by $65K devices. The reason we're getting attention is the spec: 43,200 LEDs, five wavelengths, 129 mW/cm² — numbers that beat the established players — at a price point that makes the ROI straightforward. Happy to send the comparison sheet.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1B2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0"/>
                <w:u w:val="none"/>
              </w:rPr>
              <w:t>OUTREACH CADENCE</w:t>
            </w:r>
            <w:r>
              <w:rPr>
                <w:rFonts w:ascii="Calibri" w:hAnsi="Calibri"/>
                <w:b w:val="0"/>
                <w:i w:val="0"/>
                <w:color w:val="6B7C93"/>
                <w:sz w:val="18"/>
                <w:u w:val="none"/>
              </w:rPr>
              <w:br/>
              <w:t>The full sequence in one view.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168"/>
        <w:gridCol w:w="5472"/>
      </w:tblGrid>
      <w:tr>
        <w:tc>
          <w:tcPr>
            <w:tcW w:type="dxa" w:w="3324"/>
            <w:shd w:val="clear" w:color="auto" w:fill="0F1B2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u w:val="none"/>
              </w:rPr>
              <w:t>Timing</w:t>
            </w:r>
          </w:p>
        </w:tc>
        <w:tc>
          <w:tcPr>
            <w:tcW w:type="dxa" w:w="3324"/>
            <w:shd w:val="clear" w:color="auto" w:fill="0F1B2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u w:val="none"/>
              </w:rPr>
              <w:t>Action</w:t>
            </w:r>
          </w:p>
        </w:tc>
        <w:tc>
          <w:tcPr>
            <w:tcW w:type="dxa" w:w="3324"/>
            <w:shd w:val="clear" w:color="auto" w:fill="0F1B2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u w:val="none"/>
              </w:rPr>
              <w:t>Goal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ind w:left="115"/>
            </w:pPr>
            <w:r>
              <w:rPr>
                <w:rFonts w:ascii="Calibri" w:hAnsi="Calibri"/>
                <w:b/>
                <w:i w:val="0"/>
                <w:color w:val="22344A"/>
                <w:sz w:val="18"/>
                <w:u w:val="none"/>
              </w:rPr>
              <w:t>Day 1</w:t>
            </w:r>
          </w:p>
        </w:tc>
        <w:tc>
          <w:tcPr>
            <w:tcW w:type="dxa" w:w="3324"/>
            <w:shd w:val="clear" w:color="auto" w:fill="F7F9FC"/>
          </w:tcPr>
          <w:p>
            <w:pPr>
              <w:ind w:left="115"/>
            </w:pP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Cold email</w:t>
            </w:r>
          </w:p>
        </w:tc>
        <w:tc>
          <w:tcPr>
            <w:tcW w:type="dxa" w:w="3324"/>
            <w:shd w:val="clear" w:color="auto" w:fill="F7F9FC"/>
          </w:tcPr>
          <w:p>
            <w:pPr>
              <w:ind w:left="115"/>
            </w:pPr>
            <w:r>
              <w:rPr>
                <w:rFonts w:ascii="Calibri" w:hAnsi="Calibri"/>
                <w:b w:val="0"/>
                <w:i w:val="0"/>
                <w:color w:val="1A2B40"/>
                <w:sz w:val="18"/>
                <w:u w:val="none"/>
              </w:rPr>
              <w:t>Get on their radar. Plant the revenue idea.</w:t>
            </w:r>
          </w:p>
        </w:tc>
      </w:tr>
      <w:tr>
        <w:tc>
          <w:tcPr>
            <w:tcW w:type="dxa" w:w="3324"/>
            <w:shd w:val="clear" w:color="auto" w:fill="FFF0F2"/>
          </w:tcPr>
          <w:p>
            <w:pPr>
              <w:ind w:left="115"/>
            </w:pPr>
            <w:r>
              <w:rPr>
                <w:rFonts w:ascii="Calibri" w:hAnsi="Calibri"/>
                <w:b/>
                <w:i w:val="0"/>
                <w:color w:val="22344A"/>
                <w:sz w:val="18"/>
                <w:u w:val="none"/>
              </w:rPr>
              <w:t>Day 3</w:t>
            </w:r>
          </w:p>
        </w:tc>
        <w:tc>
          <w:tcPr>
            <w:tcW w:type="dxa" w:w="3324"/>
            <w:shd w:val="clear" w:color="auto" w:fill="FFF0F2"/>
          </w:tcPr>
          <w:p>
            <w:pPr>
              <w:ind w:left="115"/>
            </w:pP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Follow-up email</w:t>
            </w:r>
          </w:p>
        </w:tc>
        <w:tc>
          <w:tcPr>
            <w:tcW w:type="dxa" w:w="3324"/>
            <w:shd w:val="clear" w:color="auto" w:fill="FFF0F2"/>
          </w:tcPr>
          <w:p>
            <w:pPr>
              <w:ind w:left="115"/>
            </w:pPr>
            <w:r>
              <w:rPr>
                <w:rFonts w:ascii="Calibri" w:hAnsi="Calibri"/>
                <w:b w:val="0"/>
                <w:i w:val="0"/>
                <w:color w:val="1A2B40"/>
                <w:sz w:val="18"/>
                <w:u w:val="none"/>
              </w:rPr>
              <w:t>One gentle bump. Reply to original thread.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ind w:left="115"/>
            </w:pPr>
            <w:r>
              <w:rPr>
                <w:rFonts w:ascii="Calibri" w:hAnsi="Calibri"/>
                <w:b/>
                <w:i w:val="0"/>
                <w:color w:val="22344A"/>
                <w:sz w:val="18"/>
                <w:u w:val="none"/>
              </w:rPr>
              <w:t>Day 3–4</w:t>
            </w:r>
          </w:p>
        </w:tc>
        <w:tc>
          <w:tcPr>
            <w:tcW w:type="dxa" w:w="3324"/>
            <w:shd w:val="clear" w:color="auto" w:fill="F7F9FC"/>
          </w:tcPr>
          <w:p>
            <w:pPr>
              <w:ind w:left="115"/>
            </w:pP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SMS</w:t>
            </w:r>
          </w:p>
        </w:tc>
        <w:tc>
          <w:tcPr>
            <w:tcW w:type="dxa" w:w="3324"/>
            <w:shd w:val="clear" w:color="auto" w:fill="F7F9FC"/>
          </w:tcPr>
          <w:p>
            <w:pPr>
              <w:ind w:left="115"/>
            </w:pPr>
            <w:r>
              <w:rPr>
                <w:rFonts w:ascii="Calibri" w:hAnsi="Calibri"/>
                <w:b w:val="0"/>
                <w:i w:val="0"/>
                <w:color w:val="1A2B40"/>
                <w:sz w:val="18"/>
                <w:u w:val="none"/>
              </w:rPr>
              <w:t>Reference the email. Keep it human and brief.</w:t>
            </w:r>
          </w:p>
        </w:tc>
      </w:tr>
      <w:tr>
        <w:tc>
          <w:tcPr>
            <w:tcW w:type="dxa" w:w="3324"/>
            <w:shd w:val="clear" w:color="auto" w:fill="FFF0F2"/>
          </w:tcPr>
          <w:p>
            <w:pPr>
              <w:ind w:left="115"/>
            </w:pPr>
            <w:r>
              <w:rPr>
                <w:rFonts w:ascii="Calibri" w:hAnsi="Calibri"/>
                <w:b/>
                <w:i w:val="0"/>
                <w:color w:val="22344A"/>
                <w:sz w:val="18"/>
                <w:u w:val="none"/>
              </w:rPr>
              <w:t>Day 10–14</w:t>
            </w:r>
          </w:p>
        </w:tc>
        <w:tc>
          <w:tcPr>
            <w:tcW w:type="dxa" w:w="3324"/>
            <w:shd w:val="clear" w:color="auto" w:fill="FFF0F2"/>
          </w:tcPr>
          <w:p>
            <w:pPr>
              <w:ind w:left="115"/>
            </w:pPr>
            <w:r>
              <w:rPr>
                <w:rFonts w:ascii="Calibri" w:hAnsi="Calibri"/>
                <w:b w:val="0"/>
                <w:i w:val="0"/>
                <w:color w:val="22344A"/>
                <w:sz w:val="18"/>
                <w:u w:val="none"/>
              </w:rPr>
              <w:t>Call (if no reply)</w:t>
            </w:r>
          </w:p>
        </w:tc>
        <w:tc>
          <w:tcPr>
            <w:tcW w:type="dxa" w:w="3324"/>
            <w:shd w:val="clear" w:color="auto" w:fill="FFF0F2"/>
          </w:tcPr>
          <w:p>
            <w:pPr>
              <w:ind w:left="115"/>
            </w:pPr>
            <w:r>
              <w:rPr>
                <w:rFonts w:ascii="Calibri" w:hAnsi="Calibri"/>
                <w:b w:val="0"/>
                <w:i w:val="0"/>
                <w:color w:val="1A2B40"/>
                <w:sz w:val="18"/>
                <w:u w:val="none"/>
              </w:rPr>
              <w:t>Reference the emails. Ask one qualifying question.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 w:val="0"/>
          <w:i/>
          <w:color w:val="6B7C93"/>
          <w:sz w:val="16"/>
          <w:u w:val="none"/>
        </w:rPr>
        <w:t>AXRAH Sales Bible  ·  Initial Outreach Scripts  ·  Internal use only  ·  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