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8352"/>
        <w:gridCol w:w="5040"/>
      </w:tblGrid>
      <w:tr>
        <w:tc>
          <w:tcPr>
            <w:tcW w:type="dxa" w:w="7070"/>
            <w:shd w:val="clear" w:color="auto" w:fill="0F1B2D"/>
          </w:tcPr>
          <w:p>
            <w:pPr>
              <w:jc w:val="left"/>
            </w:pPr>
            <w:r>
              <w:rPr>
                <w:b/>
                <w:i w:val="0"/>
                <w:color w:val="C8102E"/>
                <w:sz w:val="44"/>
              </w:rPr>
              <w:t>AXRAH</w:t>
            </w:r>
            <w:r>
              <w:rPr>
                <w:b w:val="0"/>
                <w:i w:val="0"/>
                <w:color w:val="FFFFFF"/>
                <w:sz w:val="28"/>
              </w:rPr>
              <w:t xml:space="preserve">  vs. The Competition</w:t>
            </w:r>
          </w:p>
          <w:p>
            <w:r>
              <w:rPr>
                <w:b w:val="0"/>
                <w:i w:val="0"/>
                <w:color w:val="8EA0B4"/>
                <w:sz w:val="18"/>
              </w:rPr>
              <w:t>Full-body photobiomodulation — head-to-head comparison</w:t>
            </w:r>
          </w:p>
        </w:tc>
        <w:tc>
          <w:tcPr>
            <w:tcW w:type="dxa" w:w="7070"/>
            <w:shd w:val="clear" w:color="auto" w:fill="1A2B40"/>
          </w:tcPr>
          <w:p>
            <w:pPr>
              <w:jc w:val="right"/>
            </w:pPr>
            <w:r>
              <w:rPr>
                <w:b w:val="0"/>
                <w:i/>
                <w:color w:val="6B7C93"/>
                <w:sz w:val="16"/>
              </w:rPr>
              <w:t>Competitor prices are estimates. Use "approximately" or</w:t>
              <w:br/>
              <w:t>"estimated" when quoting to clients.</w:t>
            </w:r>
          </w:p>
        </w:tc>
      </w:tr>
    </w:tbl>
    <w:p/>
    <w:tbl>
      <w:tblPr>
        <w:tblStyle w:val="TableGrid"/>
        <w:tblW w:type="auto" w:w="0"/>
        <w:jc w:val="center"/>
        <w:tblLayout w:type="fixed"/>
        <w:tblLook w:firstColumn="1" w:firstRow="1" w:lastColumn="0" w:lastRow="0" w:noHBand="0" w:noVBand="1" w:val="04A0"/>
      </w:tblPr>
      <w:tblGrid>
        <w:gridCol w:w="4464"/>
        <w:gridCol w:w="4464"/>
        <w:gridCol w:w="4464"/>
      </w:tblGrid>
      <w:tr>
        <w:tc>
          <w:tcPr>
            <w:tcW w:type="dxa" w:w="4713"/>
            <w:shd w:val="clear" w:color="auto" w:fill="2A1016"/>
          </w:tcPr>
          <w:p>
            <w:pPr>
              <w:jc w:val="center"/>
            </w:pPr>
            <w:r>
              <w:rPr>
                <w:b/>
                <w:i w:val="0"/>
                <w:color w:val="C8102E"/>
                <w:sz w:val="16"/>
              </w:rPr>
              <w:t>LED DENSITY ADVANTAGE</w:t>
            </w:r>
          </w:p>
        </w:tc>
        <w:tc>
          <w:tcPr>
            <w:tcW w:type="dxa" w:w="4713"/>
            <w:shd w:val="clear" w:color="auto" w:fill="2A1016"/>
          </w:tcPr>
          <w:p>
            <w:pPr>
              <w:jc w:val="center"/>
            </w:pPr>
            <w:r>
              <w:rPr>
                <w:b/>
                <w:i w:val="0"/>
                <w:color w:val="C8102E"/>
                <w:sz w:val="16"/>
              </w:rPr>
              <w:t>IRRADIANCE ADVANTAGE</w:t>
            </w:r>
          </w:p>
        </w:tc>
        <w:tc>
          <w:tcPr>
            <w:tcW w:type="dxa" w:w="4713"/>
            <w:shd w:val="clear" w:color="auto" w:fill="2A1016"/>
          </w:tcPr>
          <w:p>
            <w:pPr>
              <w:jc w:val="center"/>
            </w:pPr>
            <w:r>
              <w:rPr>
                <w:b/>
                <w:i w:val="0"/>
                <w:color w:val="C8102E"/>
                <w:sz w:val="16"/>
              </w:rPr>
              <w:t>PRICE vs. NOVOTHOR</w:t>
            </w:r>
          </w:p>
        </w:tc>
      </w:tr>
      <w:tr>
        <w:tc>
          <w:tcPr>
            <w:tcW w:type="dxa" w:w="4713"/>
            <w:shd w:val="clear" w:color="auto" w:fill="1E0B10"/>
          </w:tcPr>
          <w:p>
            <w:pPr>
              <w:jc w:val="center"/>
            </w:pPr>
            <w:r>
              <w:rPr>
                <w:b/>
                <w:i w:val="0"/>
                <w:color w:val="FFFFFF"/>
                <w:sz w:val="44"/>
              </w:rPr>
              <w:t>6.2x</w:t>
              <w:br/>
            </w:r>
            <w:r>
              <w:rPr>
                <w:b w:val="0"/>
                <w:i w:val="0"/>
                <w:color w:val="6B7C93"/>
                <w:sz w:val="16"/>
              </w:rPr>
              <w:t>Chamber Ultra: 43,200 LEDs vs MitoPOD 6,960</w:t>
            </w:r>
          </w:p>
        </w:tc>
        <w:tc>
          <w:tcPr>
            <w:tcW w:type="dxa" w:w="4713"/>
            <w:shd w:val="clear" w:color="auto" w:fill="1E0B10"/>
          </w:tcPr>
          <w:p>
            <w:pPr>
              <w:jc w:val="center"/>
            </w:pPr>
            <w:r>
              <w:rPr>
                <w:b/>
                <w:i w:val="0"/>
                <w:color w:val="FFFFFF"/>
                <w:sz w:val="44"/>
              </w:rPr>
              <w:t>4.3x</w:t>
              <w:br/>
            </w:r>
            <w:r>
              <w:rPr>
                <w:b w:val="0"/>
                <w:i w:val="0"/>
                <w:color w:val="6B7C93"/>
                <w:sz w:val="16"/>
              </w:rPr>
              <w:t>129 mW/cm2 vs MitoPOD ~30 mW/cm2</w:t>
            </w:r>
          </w:p>
        </w:tc>
        <w:tc>
          <w:tcPr>
            <w:tcW w:type="dxa" w:w="4713"/>
            <w:shd w:val="clear" w:color="auto" w:fill="1E0B10"/>
          </w:tcPr>
          <w:p>
            <w:pPr>
              <w:jc w:val="center"/>
            </w:pPr>
            <w:r>
              <w:rPr>
                <w:b/>
                <w:i w:val="0"/>
                <w:color w:val="FFFFFF"/>
                <w:sz w:val="44"/>
              </w:rPr>
              <w:t>~1/3</w:t>
              <w:br/>
            </w:r>
            <w:r>
              <w:rPr>
                <w:b w:val="0"/>
                <w:i w:val="0"/>
                <w:color w:val="6B7C93"/>
                <w:sz w:val="16"/>
              </w:rPr>
              <w:t>Chamber Ultra ~$27K vs NovoTHOR est. $65K+</w:t>
            </w:r>
          </w:p>
        </w:tc>
      </w:tr>
    </w:tbl>
    <w:p/>
    <w:tbl>
      <w:tblPr>
        <w:tblStyle w:val="TableGrid"/>
        <w:tblW w:type="auto" w:w="0"/>
        <w:jc w:val="center"/>
        <w:tblLayout w:type="fixed"/>
        <w:tblLook w:firstColumn="1" w:firstRow="1" w:lastColumn="0" w:lastRow="0" w:noHBand="0" w:noVBand="1" w:val="04A0"/>
      </w:tblPr>
      <w:tblGrid>
        <w:gridCol w:w="2020"/>
        <w:gridCol w:w="2020"/>
        <w:gridCol w:w="2020"/>
        <w:gridCol w:w="2020"/>
        <w:gridCol w:w="2020"/>
        <w:gridCol w:w="2020"/>
        <w:gridCol w:w="2020"/>
      </w:tblGrid>
      <w:tr>
        <w:tc>
          <w:tcPr>
            <w:tcW w:type="dxa" w:w="2232"/>
            <w:shd w:val="clear" w:color="auto" w:fill="0F1B2D"/>
          </w:tcPr>
          <w:p>
            <w:pPr>
              <w:jc w:val="center"/>
            </w:pPr>
            <w:r>
              <w:rPr>
                <w:b/>
                <w:i w:val="0"/>
                <w:color w:val="FFFFFF"/>
                <w:sz w:val="18"/>
              </w:rPr>
            </w:r>
          </w:p>
        </w:tc>
        <w:tc>
          <w:tcPr>
            <w:tcW w:type="dxa" w:w="1800"/>
            <w:shd w:val="clear" w:color="auto" w:fill="2A1016"/>
          </w:tcPr>
          <w:p>
            <w:pPr>
              <w:jc w:val="center"/>
            </w:pPr>
            <w:r>
              <w:rPr>
                <w:b/>
                <w:i w:val="0"/>
                <w:color w:val="C8102E"/>
                <w:sz w:val="18"/>
              </w:rPr>
              <w:t>Chamber</w:t>
            </w:r>
            <w:r>
              <w:rPr>
                <w:b w:val="0"/>
                <w:i w:val="0"/>
                <w:color w:val="8EA0B4"/>
                <w:sz w:val="16"/>
              </w:rPr>
              <w:br/>
              <w:t>$16,999</w:t>
            </w:r>
          </w:p>
        </w:tc>
        <w:tc>
          <w:tcPr>
            <w:tcW w:type="dxa" w:w="1944"/>
            <w:shd w:val="clear" w:color="auto" w:fill="2A1016"/>
          </w:tcPr>
          <w:p>
            <w:pPr>
              <w:jc w:val="center"/>
            </w:pPr>
            <w:r>
              <w:rPr>
                <w:b/>
                <w:i w:val="0"/>
                <w:color w:val="C8102E"/>
                <w:sz w:val="18"/>
              </w:rPr>
              <w:t>Chamber Ultra</w:t>
            </w:r>
            <w:r>
              <w:rPr>
                <w:b w:val="0"/>
                <w:i w:val="0"/>
                <w:color w:val="8EA0B4"/>
                <w:sz w:val="16"/>
              </w:rPr>
              <w:br/>
              <w:t>$26,999</w:t>
            </w:r>
          </w:p>
        </w:tc>
        <w:tc>
          <w:tcPr>
            <w:tcW w:type="dxa" w:w="1728"/>
            <w:shd w:val="clear" w:color="auto" w:fill="1A2B40"/>
          </w:tcPr>
          <w:p>
            <w:pPr>
              <w:jc w:val="center"/>
            </w:pPr>
            <w:r>
              <w:rPr>
                <w:b/>
                <w:i w:val="0"/>
                <w:color w:val="FFFFFF"/>
                <w:sz w:val="18"/>
              </w:rPr>
              <w:t>NovoTHOR</w:t>
            </w:r>
            <w:r>
              <w:rPr>
                <w:b w:val="0"/>
                <w:i w:val="0"/>
                <w:color w:val="8EA0B4"/>
                <w:sz w:val="16"/>
              </w:rPr>
              <w:br/>
              <w:t>~est. $65K+</w:t>
            </w:r>
          </w:p>
        </w:tc>
        <w:tc>
          <w:tcPr>
            <w:tcW w:type="dxa" w:w="1728"/>
            <w:shd w:val="clear" w:color="auto" w:fill="1A2B40"/>
          </w:tcPr>
          <w:p>
            <w:pPr>
              <w:jc w:val="center"/>
            </w:pPr>
            <w:r>
              <w:rPr>
                <w:b/>
                <w:i w:val="0"/>
                <w:color w:val="FFFFFF"/>
                <w:sz w:val="18"/>
              </w:rPr>
              <w:t>TheraLight</w:t>
            </w:r>
            <w:r>
              <w:rPr>
                <w:b w:val="0"/>
                <w:i w:val="0"/>
                <w:color w:val="8EA0B4"/>
                <w:sz w:val="16"/>
              </w:rPr>
              <w:br/>
              <w:t>~est. $45–85K</w:t>
            </w:r>
          </w:p>
        </w:tc>
        <w:tc>
          <w:tcPr>
            <w:tcW w:type="dxa" w:w="1728"/>
            <w:shd w:val="clear" w:color="auto" w:fill="1A2B40"/>
          </w:tcPr>
          <w:p>
            <w:pPr>
              <w:jc w:val="center"/>
            </w:pPr>
            <w:r>
              <w:rPr>
                <w:b/>
                <w:i w:val="0"/>
                <w:color w:val="FFFFFF"/>
                <w:sz w:val="18"/>
              </w:rPr>
              <w:t>Prism Light Pod</w:t>
            </w:r>
            <w:r>
              <w:rPr>
                <w:b w:val="0"/>
                <w:i w:val="0"/>
                <w:color w:val="8EA0B4"/>
                <w:sz w:val="16"/>
              </w:rPr>
              <w:br/>
              <w:t>~est. $35K+</w:t>
            </w:r>
          </w:p>
        </w:tc>
        <w:tc>
          <w:tcPr>
            <w:tcW w:type="dxa" w:w="1728"/>
            <w:shd w:val="clear" w:color="auto" w:fill="1A2B40"/>
          </w:tcPr>
          <w:p>
            <w:pPr>
              <w:jc w:val="center"/>
            </w:pPr>
            <w:r>
              <w:rPr>
                <w:b/>
                <w:i w:val="0"/>
                <w:color w:val="FFFFFF"/>
                <w:sz w:val="18"/>
              </w:rPr>
              <w:t>MitoPOD</w:t>
            </w:r>
            <w:r>
              <w:rPr>
                <w:b w:val="0"/>
                <w:i w:val="0"/>
                <w:color w:val="8EA0B4"/>
                <w:sz w:val="16"/>
              </w:rPr>
              <w:br/>
              <w:t>Consumer</w:t>
            </w:r>
          </w:p>
        </w:tc>
      </w:tr>
      <w:tr>
        <w:tc>
          <w:tcPr>
            <w:tcW w:type="dxa" w:w="12888"/>
            <w:gridSpan w:val="7"/>
            <w:shd w:val="clear" w:color="auto" w:fill="1A2B40"/>
          </w:tcPr>
          <w:p>
            <w:pPr>
              <w:jc w:val="left"/>
            </w:pPr>
            <w:r>
              <w:rPr>
                <w:b/>
                <w:i w:val="0"/>
                <w:color w:val="8EA0B4"/>
                <w:sz w:val="16"/>
              </w:rPr>
              <w:t>PERFORMANCE</w:t>
            </w:r>
          </w:p>
        </w:tc>
      </w:tr>
      <w:tr>
        <w:tc>
          <w:tcPr>
            <w:tcW w:type="dxa" w:w="2232"/>
            <w:shd w:val="clear" w:color="auto" w:fill="F4F6F8"/>
          </w:tcPr>
          <w:p>
            <w:r>
              <w:rPr>
                <w:b/>
                <w:i w:val="0"/>
                <w:color w:val="445A6A"/>
                <w:sz w:val="16"/>
              </w:rPr>
              <w:t>Total LEDs</w:t>
            </w:r>
          </w:p>
        </w:tc>
        <w:tc>
          <w:tcPr>
            <w:tcW w:type="dxa" w:w="1800"/>
            <w:shd w:val="clear" w:color="auto" w:fill="FFF5F6"/>
            <w:vAlign w:val="center"/>
          </w:tcPr>
          <w:p>
            <w:pPr>
              <w:jc w:val="center"/>
            </w:pPr>
            <w:r>
              <w:rPr>
                <w:b/>
                <w:i w:val="0"/>
                <w:color w:val="C8102E"/>
                <w:sz w:val="18"/>
              </w:rPr>
              <w:t>13,680</w:t>
            </w:r>
          </w:p>
        </w:tc>
        <w:tc>
          <w:tcPr>
            <w:tcW w:type="dxa" w:w="1944"/>
            <w:shd w:val="clear" w:color="auto" w:fill="FFEEEF"/>
            <w:vAlign w:val="center"/>
          </w:tcPr>
          <w:p>
            <w:pPr>
              <w:jc w:val="center"/>
            </w:pPr>
            <w:r>
              <w:rPr>
                <w:b/>
                <w:i w:val="0"/>
                <w:color w:val="00C878"/>
                <w:sz w:val="18"/>
              </w:rPr>
              <w:t>43,200</w:t>
            </w:r>
          </w:p>
        </w:tc>
        <w:tc>
          <w:tcPr>
            <w:tcW w:type="dxa" w:w="1728"/>
            <w:shd w:val="clear" w:color="auto" w:fill="FFFFFF"/>
            <w:vAlign w:val="center"/>
          </w:tcPr>
          <w:p>
            <w:pPr>
              <w:jc w:val="center"/>
            </w:pPr>
            <w:r>
              <w:rPr>
                <w:b w:val="0"/>
                <w:i w:val="0"/>
                <w:color w:val="445A6A"/>
                <w:sz w:val="16"/>
              </w:rPr>
              <w:t>N/A</w:t>
            </w:r>
          </w:p>
        </w:tc>
        <w:tc>
          <w:tcPr>
            <w:tcW w:type="dxa" w:w="1728"/>
            <w:shd w:val="clear" w:color="auto" w:fill="FFFFFF"/>
            <w:vAlign w:val="center"/>
          </w:tcPr>
          <w:p>
            <w:pPr>
              <w:jc w:val="center"/>
            </w:pPr>
            <w:r>
              <w:rPr>
                <w:b w:val="0"/>
                <w:i w:val="0"/>
                <w:color w:val="445A6A"/>
                <w:sz w:val="16"/>
              </w:rPr>
              <w:t>N/A</w:t>
            </w:r>
          </w:p>
        </w:tc>
        <w:tc>
          <w:tcPr>
            <w:tcW w:type="dxa" w:w="1728"/>
            <w:shd w:val="clear" w:color="auto" w:fill="FFFFFF"/>
            <w:vAlign w:val="center"/>
          </w:tcPr>
          <w:p>
            <w:pPr>
              <w:jc w:val="center"/>
            </w:pPr>
            <w:r>
              <w:rPr>
                <w:b w:val="0"/>
                <w:i w:val="0"/>
                <w:color w:val="445A6A"/>
                <w:sz w:val="16"/>
              </w:rPr>
              <w:t>17,000</w:t>
            </w:r>
          </w:p>
        </w:tc>
        <w:tc>
          <w:tcPr>
            <w:tcW w:type="dxa" w:w="1728"/>
            <w:shd w:val="clear" w:color="auto" w:fill="FFFFFF"/>
            <w:vAlign w:val="center"/>
          </w:tcPr>
          <w:p>
            <w:pPr>
              <w:jc w:val="center"/>
            </w:pPr>
            <w:r>
              <w:rPr>
                <w:b w:val="0"/>
                <w:i w:val="0"/>
                <w:color w:val="445A6A"/>
                <w:sz w:val="16"/>
              </w:rPr>
              <w:t>6,960</w:t>
            </w:r>
          </w:p>
        </w:tc>
      </w:tr>
      <w:tr>
        <w:tc>
          <w:tcPr>
            <w:tcW w:type="dxa" w:w="2232"/>
            <w:shd w:val="clear" w:color="auto" w:fill="F4F6F8"/>
          </w:tcPr>
          <w:p>
            <w:r>
              <w:rPr>
                <w:b/>
                <w:i w:val="0"/>
                <w:color w:val="445A6A"/>
                <w:sz w:val="16"/>
              </w:rPr>
              <w:t>Irradiance</w:t>
            </w:r>
          </w:p>
        </w:tc>
        <w:tc>
          <w:tcPr>
            <w:tcW w:type="dxa" w:w="1800"/>
            <w:shd w:val="clear" w:color="auto" w:fill="FFF5F6"/>
            <w:vAlign w:val="center"/>
          </w:tcPr>
          <w:p>
            <w:pPr>
              <w:jc w:val="center"/>
            </w:pPr>
            <w:r>
              <w:rPr>
                <w:b w:val="0"/>
                <w:i w:val="0"/>
                <w:color w:val="445A6A"/>
                <w:sz w:val="16"/>
              </w:rPr>
              <w:t>Optimised</w:t>
            </w:r>
          </w:p>
        </w:tc>
        <w:tc>
          <w:tcPr>
            <w:tcW w:type="dxa" w:w="1944"/>
            <w:shd w:val="clear" w:color="auto" w:fill="FFEEEF"/>
            <w:vAlign w:val="center"/>
          </w:tcPr>
          <w:p>
            <w:pPr>
              <w:jc w:val="center"/>
            </w:pPr>
            <w:r>
              <w:rPr>
                <w:b/>
                <w:i w:val="0"/>
                <w:color w:val="C8102E"/>
                <w:sz w:val="18"/>
              </w:rPr>
              <w:t>129 mW/cm²</w:t>
            </w:r>
          </w:p>
        </w:tc>
        <w:tc>
          <w:tcPr>
            <w:tcW w:type="dxa" w:w="1728"/>
            <w:shd w:val="clear" w:color="auto" w:fill="FFFFFF"/>
            <w:vAlign w:val="center"/>
          </w:tcPr>
          <w:p>
            <w:pPr>
              <w:jc w:val="center"/>
            </w:pPr>
            <w:r>
              <w:rPr>
                <w:b w:val="0"/>
                <w:i w:val="0"/>
                <w:color w:val="445A6A"/>
                <w:sz w:val="16"/>
              </w:rPr>
              <w:t>N/A public</w:t>
            </w:r>
          </w:p>
        </w:tc>
        <w:tc>
          <w:tcPr>
            <w:tcW w:type="dxa" w:w="1728"/>
            <w:shd w:val="clear" w:color="auto" w:fill="FFFFFF"/>
            <w:vAlign w:val="center"/>
          </w:tcPr>
          <w:p>
            <w:pPr>
              <w:jc w:val="center"/>
            </w:pPr>
            <w:r>
              <w:rPr>
                <w:b w:val="0"/>
                <w:i w:val="0"/>
                <w:color w:val="445A6A"/>
                <w:sz w:val="16"/>
              </w:rPr>
              <w:t>N/A public</w:t>
            </w:r>
          </w:p>
        </w:tc>
        <w:tc>
          <w:tcPr>
            <w:tcW w:type="dxa" w:w="1728"/>
            <w:shd w:val="clear" w:color="auto" w:fill="FFFFFF"/>
            <w:vAlign w:val="center"/>
          </w:tcPr>
          <w:p>
            <w:pPr>
              <w:jc w:val="center"/>
            </w:pPr>
            <w:r>
              <w:rPr>
                <w:b w:val="0"/>
                <w:i w:val="0"/>
                <w:color w:val="445A6A"/>
                <w:sz w:val="16"/>
              </w:rPr>
              <w:t>N/A public</w:t>
            </w:r>
          </w:p>
        </w:tc>
        <w:tc>
          <w:tcPr>
            <w:tcW w:type="dxa" w:w="1728"/>
            <w:shd w:val="clear" w:color="auto" w:fill="FFFFFF"/>
            <w:vAlign w:val="center"/>
          </w:tcPr>
          <w:p>
            <w:pPr>
              <w:jc w:val="center"/>
            </w:pPr>
            <w:r>
              <w:rPr>
                <w:b w:val="0"/>
                <w:i w:val="0"/>
                <w:color w:val="445A6A"/>
                <w:sz w:val="16"/>
              </w:rPr>
              <w:t>~30 mW/cm²</w:t>
            </w:r>
          </w:p>
        </w:tc>
      </w:tr>
      <w:tr>
        <w:tc>
          <w:tcPr>
            <w:tcW w:type="dxa" w:w="2232"/>
            <w:shd w:val="clear" w:color="auto" w:fill="F4F6F8"/>
          </w:tcPr>
          <w:p>
            <w:r>
              <w:rPr>
                <w:b/>
                <w:i w:val="0"/>
                <w:color w:val="445A6A"/>
                <w:sz w:val="16"/>
              </w:rPr>
              <w:t>Wavelengths</w:t>
            </w:r>
          </w:p>
        </w:tc>
        <w:tc>
          <w:tcPr>
            <w:tcW w:type="dxa" w:w="1800"/>
            <w:shd w:val="clear" w:color="auto" w:fill="FFF5F6"/>
            <w:vAlign w:val="center"/>
          </w:tcPr>
          <w:p>
            <w:pPr>
              <w:jc w:val="center"/>
            </w:pPr>
            <w:r>
              <w:rPr>
                <w:b/>
                <w:i w:val="0"/>
                <w:color w:val="C8102E"/>
                <w:sz w:val="18"/>
              </w:rPr>
              <w:t>4</w:t>
            </w:r>
            <w:r>
              <w:rPr>
                <w:b w:val="0"/>
                <w:i w:val="0"/>
                <w:color w:val="6B7C93"/>
                <w:sz w:val="14"/>
              </w:rPr>
              <w:br/>
              <w:t>633/850/940/1060nm</w:t>
            </w:r>
          </w:p>
        </w:tc>
        <w:tc>
          <w:tcPr>
            <w:tcW w:type="dxa" w:w="1944"/>
            <w:shd w:val="clear" w:color="auto" w:fill="FFEEEF"/>
            <w:vAlign w:val="center"/>
          </w:tcPr>
          <w:p>
            <w:pPr>
              <w:jc w:val="center"/>
            </w:pPr>
            <w:r>
              <w:rPr>
                <w:b/>
                <w:i w:val="0"/>
                <w:color w:val="C8102E"/>
                <w:sz w:val="18"/>
              </w:rPr>
              <w:t>5</w:t>
            </w:r>
            <w:r>
              <w:rPr>
                <w:b w:val="0"/>
                <w:i w:val="0"/>
                <w:color w:val="6B7C93"/>
                <w:sz w:val="14"/>
              </w:rPr>
              <w:br/>
              <w:t>633/660/810/940/1060nm</w:t>
            </w:r>
          </w:p>
        </w:tc>
        <w:tc>
          <w:tcPr>
            <w:tcW w:type="dxa" w:w="1728"/>
            <w:shd w:val="clear" w:color="auto" w:fill="FFFFFF"/>
            <w:vAlign w:val="center"/>
          </w:tcPr>
          <w:p>
            <w:pPr>
              <w:jc w:val="center"/>
            </w:pPr>
            <w:r>
              <w:rPr>
                <w:b w:val="0"/>
                <w:i w:val="0"/>
                <w:color w:val="445A6A"/>
                <w:sz w:val="16"/>
              </w:rPr>
              <w:t>2</w:t>
            </w:r>
            <w:r>
              <w:rPr>
                <w:b w:val="0"/>
                <w:i w:val="0"/>
                <w:color w:val="6B7C93"/>
                <w:sz w:val="14"/>
              </w:rPr>
              <w:br/>
              <w:t>660/850nm</w:t>
            </w:r>
          </w:p>
        </w:tc>
        <w:tc>
          <w:tcPr>
            <w:tcW w:type="dxa" w:w="1728"/>
            <w:shd w:val="clear" w:color="auto" w:fill="FFFFFF"/>
            <w:vAlign w:val="center"/>
          </w:tcPr>
          <w:p>
            <w:pPr>
              <w:jc w:val="center"/>
            </w:pPr>
            <w:r>
              <w:rPr>
                <w:b w:val="0"/>
                <w:i w:val="0"/>
                <w:color w:val="445A6A"/>
                <w:sz w:val="16"/>
              </w:rPr>
              <w:t>4</w:t>
            </w:r>
            <w:r>
              <w:rPr>
                <w:b w:val="0"/>
                <w:i w:val="0"/>
                <w:color w:val="6B7C93"/>
                <w:sz w:val="14"/>
              </w:rPr>
              <w:br/>
              <w:t>multiple</w:t>
            </w:r>
          </w:p>
        </w:tc>
        <w:tc>
          <w:tcPr>
            <w:tcW w:type="dxa" w:w="1728"/>
            <w:shd w:val="clear" w:color="auto" w:fill="FFFFFF"/>
            <w:vAlign w:val="center"/>
          </w:tcPr>
          <w:p>
            <w:pPr>
              <w:jc w:val="center"/>
            </w:pPr>
            <w:r>
              <w:rPr>
                <w:b w:val="0"/>
                <w:i w:val="0"/>
                <w:color w:val="445A6A"/>
                <w:sz w:val="16"/>
              </w:rPr>
              <w:t>3</w:t>
            </w:r>
            <w:r>
              <w:rPr>
                <w:b w:val="0"/>
                <w:i w:val="0"/>
                <w:color w:val="6B7C93"/>
                <w:sz w:val="14"/>
              </w:rPr>
              <w:br/>
              <w:t>630/660/850nm</w:t>
            </w:r>
          </w:p>
        </w:tc>
        <w:tc>
          <w:tcPr>
            <w:tcW w:type="dxa" w:w="1728"/>
            <w:shd w:val="clear" w:color="auto" w:fill="FFFFFF"/>
            <w:vAlign w:val="center"/>
          </w:tcPr>
          <w:p>
            <w:pPr>
              <w:jc w:val="center"/>
            </w:pPr>
            <w:r>
              <w:rPr>
                <w:b w:val="0"/>
                <w:i w:val="0"/>
                <w:color w:val="445A6A"/>
                <w:sz w:val="16"/>
              </w:rPr>
              <w:t>2–3</w:t>
            </w:r>
            <w:r>
              <w:rPr>
                <w:b w:val="0"/>
                <w:i w:val="0"/>
                <w:color w:val="6B7C93"/>
                <w:sz w:val="14"/>
              </w:rPr>
              <w:br/>
              <w:t>varies</w:t>
            </w:r>
          </w:p>
        </w:tc>
      </w:tr>
      <w:tr>
        <w:tc>
          <w:tcPr>
            <w:tcW w:type="dxa" w:w="2232"/>
            <w:shd w:val="clear" w:color="auto" w:fill="F4F6F8"/>
          </w:tcPr>
          <w:p>
            <w:r>
              <w:rPr>
                <w:b/>
                <w:i w:val="0"/>
                <w:color w:val="445A6A"/>
                <w:sz w:val="16"/>
              </w:rPr>
              <w:t>Pulse Technology</w:t>
            </w:r>
          </w:p>
        </w:tc>
        <w:tc>
          <w:tcPr>
            <w:tcW w:type="dxa" w:w="1800"/>
            <w:shd w:val="clear" w:color="auto" w:fill="FFF5F6"/>
            <w:vAlign w:val="center"/>
          </w:tcPr>
          <w:p>
            <w:pPr>
              <w:jc w:val="center"/>
            </w:pPr>
            <w:r>
              <w:rPr>
                <w:b w:val="0"/>
                <w:i w:val="0"/>
                <w:color w:val="6B7C93"/>
                <w:sz w:val="20"/>
              </w:rPr>
              <w:t>—</w:t>
            </w:r>
          </w:p>
        </w:tc>
        <w:tc>
          <w:tcPr>
            <w:tcW w:type="dxa" w:w="1944"/>
            <w:shd w:val="clear" w:color="auto" w:fill="FFEEEF"/>
            <w:vAlign w:val="center"/>
          </w:tcPr>
          <w:p>
            <w:pPr>
              <w:jc w:val="center"/>
            </w:pPr>
            <w:r>
              <w:rPr>
                <w:b/>
                <w:i w:val="0"/>
                <w:color w:val="C8102E"/>
                <w:sz w:val="18"/>
              </w:rPr>
              <w:t>1–10,000 Hz</w:t>
            </w:r>
          </w:p>
        </w:tc>
        <w:tc>
          <w:tcPr>
            <w:tcW w:type="dxa" w:w="1728"/>
            <w:shd w:val="clear" w:color="auto" w:fill="FFFFFF"/>
            <w:vAlign w:val="center"/>
          </w:tcPr>
          <w:p>
            <w:pPr>
              <w:jc w:val="center"/>
            </w:pPr>
            <w:r>
              <w:rPr>
                <w:b w:val="0"/>
                <w:i w:val="0"/>
                <w:color w:val="6B7C93"/>
                <w:sz w:val="20"/>
              </w:rPr>
              <w:t>—</w:t>
            </w:r>
          </w:p>
        </w:tc>
        <w:tc>
          <w:tcPr>
            <w:tcW w:type="dxa" w:w="1728"/>
            <w:shd w:val="clear" w:color="auto" w:fill="FFFFFF"/>
            <w:vAlign w:val="center"/>
          </w:tcPr>
          <w:p>
            <w:pPr>
              <w:jc w:val="center"/>
            </w:pPr>
            <w:r>
              <w:rPr>
                <w:b w:val="0"/>
                <w:i w:val="0"/>
                <w:color w:val="445A6A"/>
                <w:sz w:val="16"/>
              </w:rPr>
              <w:t>Limited</w:t>
            </w:r>
          </w:p>
        </w:tc>
        <w:tc>
          <w:tcPr>
            <w:tcW w:type="dxa" w:w="1728"/>
            <w:shd w:val="clear" w:color="auto" w:fill="FFFFFF"/>
            <w:vAlign w:val="center"/>
          </w:tcPr>
          <w:p>
            <w:pPr>
              <w:jc w:val="center"/>
            </w:pPr>
            <w:r>
              <w:rPr>
                <w:b w:val="0"/>
                <w:i w:val="0"/>
                <w:color w:val="6B7C93"/>
                <w:sz w:val="20"/>
              </w:rPr>
              <w:t>—</w:t>
            </w:r>
          </w:p>
        </w:tc>
        <w:tc>
          <w:tcPr>
            <w:tcW w:type="dxa" w:w="1728"/>
            <w:shd w:val="clear" w:color="auto" w:fill="FFFFFF"/>
            <w:vAlign w:val="center"/>
          </w:tcPr>
          <w:p>
            <w:pPr>
              <w:jc w:val="center"/>
            </w:pPr>
            <w:r>
              <w:rPr>
                <w:b w:val="0"/>
                <w:i w:val="0"/>
                <w:color w:val="6B7C93"/>
                <w:sz w:val="20"/>
              </w:rPr>
              <w:t>—</w:t>
            </w:r>
          </w:p>
        </w:tc>
      </w:tr>
      <w:tr>
        <w:tc>
          <w:tcPr>
            <w:tcW w:type="dxa" w:w="12888"/>
            <w:gridSpan w:val="7"/>
            <w:shd w:val="clear" w:color="auto" w:fill="1A2B40"/>
          </w:tcPr>
          <w:p>
            <w:pPr>
              <w:jc w:val="left"/>
            </w:pPr>
            <w:r>
              <w:rPr>
                <w:b/>
                <w:i w:val="0"/>
                <w:color w:val="8EA0B4"/>
                <w:sz w:val="16"/>
              </w:rPr>
              <w:t>COVERAGE &amp; FORM FACTOR</w:t>
            </w:r>
          </w:p>
        </w:tc>
      </w:tr>
      <w:tr>
        <w:tc>
          <w:tcPr>
            <w:tcW w:type="dxa" w:w="2232"/>
            <w:shd w:val="clear" w:color="auto" w:fill="F4F6F8"/>
          </w:tcPr>
          <w:p>
            <w:r>
              <w:rPr>
                <w:b/>
                <w:i w:val="0"/>
                <w:color w:val="445A6A"/>
                <w:sz w:val="16"/>
              </w:rPr>
              <w:t>Full-body coverage</w:t>
            </w:r>
          </w:p>
        </w:tc>
        <w:tc>
          <w:tcPr>
            <w:tcW w:type="dxa" w:w="1800"/>
            <w:shd w:val="clear" w:color="auto" w:fill="FFF5F6"/>
            <w:vAlign w:val="center"/>
          </w:tcPr>
          <w:p>
            <w:pPr>
              <w:jc w:val="center"/>
            </w:pPr>
            <w:r>
              <w:rPr>
                <w:b/>
                <w:i w:val="0"/>
                <w:color w:val="00C878"/>
                <w:sz w:val="20"/>
              </w:rPr>
              <w:t>✓</w:t>
            </w:r>
          </w:p>
        </w:tc>
        <w:tc>
          <w:tcPr>
            <w:tcW w:type="dxa" w:w="1944"/>
            <w:shd w:val="clear" w:color="auto" w:fill="FFEEEF"/>
            <w:vAlign w:val="center"/>
          </w:tcPr>
          <w:p>
            <w:pPr>
              <w:jc w:val="center"/>
            </w:pPr>
            <w:r>
              <w:rPr>
                <w:b/>
                <w:i w:val="0"/>
                <w:color w:val="00C878"/>
                <w:sz w:val="20"/>
              </w:rPr>
              <w:t>✓</w:t>
            </w:r>
          </w:p>
        </w:tc>
        <w:tc>
          <w:tcPr>
            <w:tcW w:type="dxa" w:w="1728"/>
            <w:shd w:val="clear" w:color="auto" w:fill="FFFFFF"/>
            <w:vAlign w:val="center"/>
          </w:tcPr>
          <w:p>
            <w:pPr>
              <w:jc w:val="center"/>
            </w:pPr>
            <w:r>
              <w:rPr>
                <w:b/>
                <w:i w:val="0"/>
                <w:color w:val="00C878"/>
                <w:sz w:val="20"/>
              </w:rPr>
              <w:t>✓</w:t>
            </w:r>
          </w:p>
        </w:tc>
        <w:tc>
          <w:tcPr>
            <w:tcW w:type="dxa" w:w="1728"/>
            <w:shd w:val="clear" w:color="auto" w:fill="FFFFFF"/>
            <w:vAlign w:val="center"/>
          </w:tcPr>
          <w:p>
            <w:pPr>
              <w:jc w:val="center"/>
            </w:pPr>
            <w:r>
              <w:rPr>
                <w:b/>
                <w:i w:val="0"/>
                <w:color w:val="00C878"/>
                <w:sz w:val="20"/>
              </w:rPr>
              <w:t>✓</w:t>
            </w:r>
          </w:p>
        </w:tc>
        <w:tc>
          <w:tcPr>
            <w:tcW w:type="dxa" w:w="1728"/>
            <w:shd w:val="clear" w:color="auto" w:fill="FFFFFF"/>
            <w:vAlign w:val="center"/>
          </w:tcPr>
          <w:p>
            <w:pPr>
              <w:jc w:val="center"/>
            </w:pPr>
            <w:r>
              <w:rPr>
                <w:b/>
                <w:i w:val="0"/>
                <w:color w:val="00C878"/>
                <w:sz w:val="20"/>
              </w:rPr>
              <w:t>✓</w:t>
            </w:r>
          </w:p>
        </w:tc>
        <w:tc>
          <w:tcPr>
            <w:tcW w:type="dxa" w:w="1728"/>
            <w:shd w:val="clear" w:color="auto" w:fill="FFFFFF"/>
            <w:vAlign w:val="center"/>
          </w:tcPr>
          <w:p>
            <w:pPr>
              <w:jc w:val="center"/>
            </w:pPr>
            <w:r>
              <w:rPr>
                <w:b w:val="0"/>
                <w:i w:val="0"/>
                <w:color w:val="445A6A"/>
                <w:sz w:val="16"/>
              </w:rPr>
              <w:t>Portable</w:t>
            </w:r>
          </w:p>
        </w:tc>
      </w:tr>
      <w:tr>
        <w:tc>
          <w:tcPr>
            <w:tcW w:type="dxa" w:w="2232"/>
            <w:shd w:val="clear" w:color="auto" w:fill="F4F6F8"/>
          </w:tcPr>
          <w:p>
            <w:r>
              <w:rPr>
                <w:b/>
                <w:i w:val="0"/>
                <w:color w:val="445A6A"/>
                <w:sz w:val="16"/>
              </w:rPr>
              <w:t>No repositioning</w:t>
            </w:r>
          </w:p>
        </w:tc>
        <w:tc>
          <w:tcPr>
            <w:tcW w:type="dxa" w:w="1800"/>
            <w:shd w:val="clear" w:color="auto" w:fill="FFF5F6"/>
            <w:vAlign w:val="center"/>
          </w:tcPr>
          <w:p>
            <w:pPr>
              <w:jc w:val="center"/>
            </w:pPr>
            <w:r>
              <w:rPr>
                <w:b/>
                <w:i w:val="0"/>
                <w:color w:val="00C878"/>
                <w:sz w:val="20"/>
              </w:rPr>
              <w:t>✓</w:t>
            </w:r>
          </w:p>
        </w:tc>
        <w:tc>
          <w:tcPr>
            <w:tcW w:type="dxa" w:w="1944"/>
            <w:shd w:val="clear" w:color="auto" w:fill="FFEEEF"/>
            <w:vAlign w:val="center"/>
          </w:tcPr>
          <w:p>
            <w:pPr>
              <w:jc w:val="center"/>
            </w:pPr>
            <w:r>
              <w:rPr>
                <w:b/>
                <w:i w:val="0"/>
                <w:color w:val="00C878"/>
                <w:sz w:val="20"/>
              </w:rPr>
              <w:t>✓</w:t>
            </w:r>
          </w:p>
        </w:tc>
        <w:tc>
          <w:tcPr>
            <w:tcW w:type="dxa" w:w="1728"/>
            <w:shd w:val="clear" w:color="auto" w:fill="FFFFFF"/>
            <w:vAlign w:val="center"/>
          </w:tcPr>
          <w:p>
            <w:pPr>
              <w:jc w:val="center"/>
            </w:pPr>
            <w:r>
              <w:rPr>
                <w:b/>
                <w:i w:val="0"/>
                <w:color w:val="00C878"/>
                <w:sz w:val="20"/>
              </w:rPr>
              <w:t>✓</w:t>
            </w:r>
          </w:p>
        </w:tc>
        <w:tc>
          <w:tcPr>
            <w:tcW w:type="dxa" w:w="1728"/>
            <w:shd w:val="clear" w:color="auto" w:fill="FFFFFF"/>
            <w:vAlign w:val="center"/>
          </w:tcPr>
          <w:p>
            <w:pPr>
              <w:jc w:val="center"/>
            </w:pPr>
            <w:r>
              <w:rPr>
                <w:b/>
                <w:i w:val="0"/>
                <w:color w:val="00C878"/>
                <w:sz w:val="20"/>
              </w:rPr>
              <w:t>✓</w:t>
            </w:r>
          </w:p>
        </w:tc>
        <w:tc>
          <w:tcPr>
            <w:tcW w:type="dxa" w:w="1728"/>
            <w:shd w:val="clear" w:color="auto" w:fill="FFFFFF"/>
            <w:vAlign w:val="center"/>
          </w:tcPr>
          <w:p>
            <w:pPr>
              <w:jc w:val="center"/>
            </w:pPr>
            <w:r>
              <w:rPr>
                <w:b/>
                <w:i w:val="0"/>
                <w:color w:val="00C878"/>
                <w:sz w:val="20"/>
              </w:rPr>
              <w:t>✓</w:t>
            </w:r>
          </w:p>
        </w:tc>
        <w:tc>
          <w:tcPr>
            <w:tcW w:type="dxa" w:w="1728"/>
            <w:shd w:val="clear" w:color="auto" w:fill="FFFFFF"/>
            <w:vAlign w:val="center"/>
          </w:tcPr>
          <w:p>
            <w:pPr>
              <w:jc w:val="center"/>
            </w:pPr>
            <w:r>
              <w:rPr>
                <w:b w:val="0"/>
                <w:i w:val="0"/>
                <w:color w:val="6B7C93"/>
                <w:sz w:val="20"/>
              </w:rPr>
              <w:t>✗</w:t>
            </w:r>
          </w:p>
        </w:tc>
      </w:tr>
      <w:tr>
        <w:tc>
          <w:tcPr>
            <w:tcW w:type="dxa" w:w="2232"/>
            <w:shd w:val="clear" w:color="auto" w:fill="F4F6F8"/>
          </w:tcPr>
          <w:p>
            <w:r>
              <w:rPr>
                <w:b/>
                <w:i w:val="0"/>
                <w:color w:val="445A6A"/>
                <w:sz w:val="16"/>
              </w:rPr>
              <w:t>Immersive chamber design</w:t>
            </w:r>
          </w:p>
        </w:tc>
        <w:tc>
          <w:tcPr>
            <w:tcW w:type="dxa" w:w="1800"/>
            <w:shd w:val="clear" w:color="auto" w:fill="FFF5F6"/>
            <w:vAlign w:val="center"/>
          </w:tcPr>
          <w:p>
            <w:pPr>
              <w:jc w:val="center"/>
            </w:pPr>
            <w:r>
              <w:rPr>
                <w:b/>
                <w:i w:val="0"/>
                <w:color w:val="00C878"/>
                <w:sz w:val="20"/>
              </w:rPr>
              <w:t>✓</w:t>
            </w:r>
          </w:p>
        </w:tc>
        <w:tc>
          <w:tcPr>
            <w:tcW w:type="dxa" w:w="1944"/>
            <w:shd w:val="clear" w:color="auto" w:fill="FFEEEF"/>
            <w:vAlign w:val="center"/>
          </w:tcPr>
          <w:p>
            <w:pPr>
              <w:jc w:val="center"/>
            </w:pPr>
            <w:r>
              <w:rPr>
                <w:b/>
                <w:i w:val="0"/>
                <w:color w:val="00C878"/>
                <w:sz w:val="20"/>
              </w:rPr>
              <w:t>✓</w:t>
            </w:r>
          </w:p>
        </w:tc>
        <w:tc>
          <w:tcPr>
            <w:tcW w:type="dxa" w:w="1728"/>
            <w:shd w:val="clear" w:color="auto" w:fill="FFFFFF"/>
            <w:vAlign w:val="center"/>
          </w:tcPr>
          <w:p>
            <w:pPr>
              <w:jc w:val="center"/>
            </w:pPr>
            <w:r>
              <w:rPr>
                <w:b/>
                <w:i w:val="0"/>
                <w:color w:val="00C878"/>
                <w:sz w:val="20"/>
              </w:rPr>
              <w:t>✓</w:t>
            </w:r>
          </w:p>
        </w:tc>
        <w:tc>
          <w:tcPr>
            <w:tcW w:type="dxa" w:w="1728"/>
            <w:shd w:val="clear" w:color="auto" w:fill="FFFFFF"/>
            <w:vAlign w:val="center"/>
          </w:tcPr>
          <w:p>
            <w:pPr>
              <w:jc w:val="center"/>
            </w:pPr>
            <w:r>
              <w:rPr>
                <w:b/>
                <w:i w:val="0"/>
                <w:color w:val="00C878"/>
                <w:sz w:val="20"/>
              </w:rPr>
              <w:t>✓</w:t>
            </w:r>
          </w:p>
        </w:tc>
        <w:tc>
          <w:tcPr>
            <w:tcW w:type="dxa" w:w="1728"/>
            <w:shd w:val="clear" w:color="auto" w:fill="FFFFFF"/>
            <w:vAlign w:val="center"/>
          </w:tcPr>
          <w:p>
            <w:pPr>
              <w:jc w:val="center"/>
            </w:pPr>
            <w:r>
              <w:rPr>
                <w:b w:val="0"/>
                <w:i w:val="0"/>
                <w:color w:val="445A6A"/>
                <w:sz w:val="16"/>
              </w:rPr>
              <w:t>Partial</w:t>
            </w:r>
          </w:p>
        </w:tc>
        <w:tc>
          <w:tcPr>
            <w:tcW w:type="dxa" w:w="1728"/>
            <w:shd w:val="clear" w:color="auto" w:fill="FFFFFF"/>
            <w:vAlign w:val="center"/>
          </w:tcPr>
          <w:p>
            <w:pPr>
              <w:jc w:val="center"/>
            </w:pPr>
            <w:r>
              <w:rPr>
                <w:b w:val="0"/>
                <w:i w:val="0"/>
                <w:color w:val="6B7C93"/>
                <w:sz w:val="20"/>
              </w:rPr>
              <w:t>✗</w:t>
            </w:r>
          </w:p>
        </w:tc>
      </w:tr>
      <w:tr>
        <w:tc>
          <w:tcPr>
            <w:tcW w:type="dxa" w:w="12888"/>
            <w:gridSpan w:val="7"/>
            <w:shd w:val="clear" w:color="auto" w:fill="1A2B40"/>
          </w:tcPr>
          <w:p>
            <w:pPr>
              <w:jc w:val="left"/>
            </w:pPr>
            <w:r>
              <w:rPr>
                <w:b/>
                <w:i w:val="0"/>
                <w:color w:val="8EA0B4"/>
                <w:sz w:val="16"/>
              </w:rPr>
              <w:t>CONTROLS &amp; OPERATION</w:t>
            </w:r>
          </w:p>
        </w:tc>
      </w:tr>
      <w:tr>
        <w:tc>
          <w:tcPr>
            <w:tcW w:type="dxa" w:w="2232"/>
            <w:shd w:val="clear" w:color="auto" w:fill="F4F6F8"/>
          </w:tcPr>
          <w:p>
            <w:r>
              <w:rPr>
                <w:b/>
                <w:i w:val="0"/>
                <w:color w:val="445A6A"/>
                <w:sz w:val="16"/>
              </w:rPr>
              <w:t>Industrial touchscreen</w:t>
            </w:r>
          </w:p>
        </w:tc>
        <w:tc>
          <w:tcPr>
            <w:tcW w:type="dxa" w:w="1800"/>
            <w:shd w:val="clear" w:color="auto" w:fill="FFF5F6"/>
            <w:vAlign w:val="center"/>
          </w:tcPr>
          <w:p>
            <w:pPr>
              <w:jc w:val="center"/>
            </w:pPr>
            <w:r>
              <w:rPr>
                <w:b/>
                <w:i w:val="0"/>
                <w:color w:val="00C878"/>
                <w:sz w:val="20"/>
              </w:rPr>
              <w:t>✓</w:t>
            </w:r>
          </w:p>
        </w:tc>
        <w:tc>
          <w:tcPr>
            <w:tcW w:type="dxa" w:w="1944"/>
            <w:shd w:val="clear" w:color="auto" w:fill="FFEEEF"/>
            <w:vAlign w:val="center"/>
          </w:tcPr>
          <w:p>
            <w:pPr>
              <w:jc w:val="center"/>
            </w:pPr>
            <w:r>
              <w:rPr>
                <w:b/>
                <w:i w:val="0"/>
                <w:color w:val="00C878"/>
                <w:sz w:val="20"/>
              </w:rPr>
              <w:t>✓</w:t>
            </w:r>
          </w:p>
        </w:tc>
        <w:tc>
          <w:tcPr>
            <w:tcW w:type="dxa" w:w="1728"/>
            <w:shd w:val="clear" w:color="auto" w:fill="FFFFFF"/>
            <w:vAlign w:val="center"/>
          </w:tcPr>
          <w:p>
            <w:pPr>
              <w:jc w:val="center"/>
            </w:pPr>
            <w:r>
              <w:rPr>
                <w:b w:val="0"/>
                <w:i w:val="0"/>
                <w:color w:val="445A6A"/>
                <w:sz w:val="16"/>
              </w:rPr>
              <w:t>Basic</w:t>
            </w:r>
          </w:p>
        </w:tc>
        <w:tc>
          <w:tcPr>
            <w:tcW w:type="dxa" w:w="1728"/>
            <w:shd w:val="clear" w:color="auto" w:fill="FFFFFF"/>
            <w:vAlign w:val="center"/>
          </w:tcPr>
          <w:p>
            <w:pPr>
              <w:jc w:val="center"/>
            </w:pPr>
            <w:r>
              <w:rPr>
                <w:b/>
                <w:i w:val="0"/>
                <w:color w:val="00C878"/>
                <w:sz w:val="20"/>
              </w:rPr>
              <w:t>✓</w:t>
            </w:r>
          </w:p>
        </w:tc>
        <w:tc>
          <w:tcPr>
            <w:tcW w:type="dxa" w:w="1728"/>
            <w:shd w:val="clear" w:color="auto" w:fill="FFFFFF"/>
            <w:vAlign w:val="center"/>
          </w:tcPr>
          <w:p>
            <w:pPr>
              <w:jc w:val="center"/>
            </w:pPr>
            <w:r>
              <w:rPr>
                <w:b w:val="0"/>
                <w:i w:val="0"/>
                <w:color w:val="445A6A"/>
                <w:sz w:val="16"/>
              </w:rPr>
              <w:t>Basic</w:t>
            </w:r>
          </w:p>
        </w:tc>
        <w:tc>
          <w:tcPr>
            <w:tcW w:type="dxa" w:w="1728"/>
            <w:shd w:val="clear" w:color="auto" w:fill="FFFFFF"/>
            <w:vAlign w:val="center"/>
          </w:tcPr>
          <w:p>
            <w:pPr>
              <w:jc w:val="center"/>
            </w:pPr>
            <w:r>
              <w:rPr>
                <w:b w:val="0"/>
                <w:i w:val="0"/>
                <w:color w:val="6B7C93"/>
                <w:sz w:val="20"/>
              </w:rPr>
              <w:t>✗</w:t>
            </w:r>
          </w:p>
        </w:tc>
      </w:tr>
      <w:tr>
        <w:tc>
          <w:tcPr>
            <w:tcW w:type="dxa" w:w="2232"/>
            <w:shd w:val="clear" w:color="auto" w:fill="F4F6F8"/>
          </w:tcPr>
          <w:p>
            <w:r>
              <w:rPr>
                <w:b/>
                <w:i w:val="0"/>
                <w:color w:val="445A6A"/>
                <w:sz w:val="16"/>
              </w:rPr>
              <w:t>Wireless remote operation</w:t>
            </w:r>
          </w:p>
        </w:tc>
        <w:tc>
          <w:tcPr>
            <w:tcW w:type="dxa" w:w="1800"/>
            <w:shd w:val="clear" w:color="auto" w:fill="FFF5F6"/>
            <w:vAlign w:val="center"/>
          </w:tcPr>
          <w:p>
            <w:pPr>
              <w:jc w:val="center"/>
            </w:pPr>
            <w:r>
              <w:rPr>
                <w:b/>
                <w:i w:val="0"/>
                <w:color w:val="00C878"/>
                <w:sz w:val="20"/>
              </w:rPr>
              <w:t>✓</w:t>
            </w:r>
          </w:p>
        </w:tc>
        <w:tc>
          <w:tcPr>
            <w:tcW w:type="dxa" w:w="1944"/>
            <w:shd w:val="clear" w:color="auto" w:fill="FFEEEF"/>
            <w:vAlign w:val="center"/>
          </w:tcPr>
          <w:p>
            <w:pPr>
              <w:jc w:val="center"/>
            </w:pPr>
            <w:r>
              <w:rPr>
                <w:b/>
                <w:i w:val="0"/>
                <w:color w:val="00C878"/>
                <w:sz w:val="20"/>
              </w:rPr>
              <w:t>✓</w:t>
            </w:r>
          </w:p>
        </w:tc>
        <w:tc>
          <w:tcPr>
            <w:tcW w:type="dxa" w:w="1728"/>
            <w:shd w:val="clear" w:color="auto" w:fill="FFFFFF"/>
            <w:vAlign w:val="center"/>
          </w:tcPr>
          <w:p>
            <w:pPr>
              <w:jc w:val="center"/>
            </w:pPr>
            <w:r>
              <w:rPr>
                <w:b w:val="0"/>
                <w:i w:val="0"/>
                <w:color w:val="6B7C93"/>
                <w:sz w:val="20"/>
              </w:rPr>
              <w:t>✗</w:t>
            </w:r>
          </w:p>
        </w:tc>
        <w:tc>
          <w:tcPr>
            <w:tcW w:type="dxa" w:w="1728"/>
            <w:shd w:val="clear" w:color="auto" w:fill="FFFFFF"/>
            <w:vAlign w:val="center"/>
          </w:tcPr>
          <w:p>
            <w:pPr>
              <w:jc w:val="center"/>
            </w:pPr>
            <w:r>
              <w:rPr>
                <w:b w:val="0"/>
                <w:i w:val="0"/>
                <w:color w:val="6B7C93"/>
                <w:sz w:val="20"/>
              </w:rPr>
              <w:t>✗</w:t>
            </w:r>
          </w:p>
        </w:tc>
        <w:tc>
          <w:tcPr>
            <w:tcW w:type="dxa" w:w="1728"/>
            <w:shd w:val="clear" w:color="auto" w:fill="FFFFFF"/>
            <w:vAlign w:val="center"/>
          </w:tcPr>
          <w:p>
            <w:pPr>
              <w:jc w:val="center"/>
            </w:pPr>
            <w:r>
              <w:rPr>
                <w:b w:val="0"/>
                <w:i w:val="0"/>
                <w:color w:val="6B7C93"/>
                <w:sz w:val="20"/>
              </w:rPr>
              <w:t>✗</w:t>
            </w:r>
          </w:p>
        </w:tc>
        <w:tc>
          <w:tcPr>
            <w:tcW w:type="dxa" w:w="1728"/>
            <w:shd w:val="clear" w:color="auto" w:fill="FFFFFF"/>
            <w:vAlign w:val="center"/>
          </w:tcPr>
          <w:p>
            <w:pPr>
              <w:jc w:val="center"/>
            </w:pPr>
            <w:r>
              <w:rPr>
                <w:b w:val="0"/>
                <w:i w:val="0"/>
                <w:color w:val="6B7C93"/>
                <w:sz w:val="20"/>
              </w:rPr>
              <w:t>✗</w:t>
            </w:r>
          </w:p>
        </w:tc>
      </w:tr>
      <w:tr>
        <w:tc>
          <w:tcPr>
            <w:tcW w:type="dxa" w:w="2232"/>
            <w:shd w:val="clear" w:color="auto" w:fill="F4F6F8"/>
          </w:tcPr>
          <w:p>
            <w:r>
              <w:rPr>
                <w:b/>
                <w:i w:val="0"/>
                <w:color w:val="445A6A"/>
                <w:sz w:val="16"/>
              </w:rPr>
              <w:t>Programmable sessions</w:t>
            </w:r>
          </w:p>
        </w:tc>
        <w:tc>
          <w:tcPr>
            <w:tcW w:type="dxa" w:w="1800"/>
            <w:shd w:val="clear" w:color="auto" w:fill="FFF5F6"/>
            <w:vAlign w:val="center"/>
          </w:tcPr>
          <w:p>
            <w:pPr>
              <w:jc w:val="center"/>
            </w:pPr>
            <w:r>
              <w:rPr>
                <w:b/>
                <w:i w:val="0"/>
                <w:color w:val="00C878"/>
                <w:sz w:val="20"/>
              </w:rPr>
              <w:t>✓</w:t>
            </w:r>
          </w:p>
        </w:tc>
        <w:tc>
          <w:tcPr>
            <w:tcW w:type="dxa" w:w="1944"/>
            <w:shd w:val="clear" w:color="auto" w:fill="FFEEEF"/>
            <w:vAlign w:val="center"/>
          </w:tcPr>
          <w:p>
            <w:pPr>
              <w:jc w:val="center"/>
            </w:pPr>
            <w:r>
              <w:rPr>
                <w:b/>
                <w:i w:val="0"/>
                <w:color w:val="00C878"/>
                <w:sz w:val="20"/>
              </w:rPr>
              <w:t>✓</w:t>
            </w:r>
          </w:p>
        </w:tc>
        <w:tc>
          <w:tcPr>
            <w:tcW w:type="dxa" w:w="1728"/>
            <w:shd w:val="clear" w:color="auto" w:fill="FFFFFF"/>
            <w:vAlign w:val="center"/>
          </w:tcPr>
          <w:p>
            <w:pPr>
              <w:jc w:val="center"/>
            </w:pPr>
            <w:r>
              <w:rPr>
                <w:b w:val="0"/>
                <w:i w:val="0"/>
                <w:color w:val="445A6A"/>
                <w:sz w:val="16"/>
              </w:rPr>
              <w:t>Limited</w:t>
            </w:r>
          </w:p>
        </w:tc>
        <w:tc>
          <w:tcPr>
            <w:tcW w:type="dxa" w:w="1728"/>
            <w:shd w:val="clear" w:color="auto" w:fill="FFFFFF"/>
            <w:vAlign w:val="center"/>
          </w:tcPr>
          <w:p>
            <w:pPr>
              <w:jc w:val="center"/>
            </w:pPr>
            <w:r>
              <w:rPr>
                <w:b/>
                <w:i w:val="0"/>
                <w:color w:val="00C878"/>
                <w:sz w:val="20"/>
              </w:rPr>
              <w:t>✓</w:t>
            </w:r>
          </w:p>
        </w:tc>
        <w:tc>
          <w:tcPr>
            <w:tcW w:type="dxa" w:w="1728"/>
            <w:shd w:val="clear" w:color="auto" w:fill="FFFFFF"/>
            <w:vAlign w:val="center"/>
          </w:tcPr>
          <w:p>
            <w:pPr>
              <w:jc w:val="center"/>
            </w:pPr>
            <w:r>
              <w:rPr>
                <w:b w:val="0"/>
                <w:i w:val="0"/>
                <w:color w:val="445A6A"/>
                <w:sz w:val="16"/>
              </w:rPr>
              <w:t>Limited</w:t>
            </w:r>
          </w:p>
        </w:tc>
        <w:tc>
          <w:tcPr>
            <w:tcW w:type="dxa" w:w="1728"/>
            <w:shd w:val="clear" w:color="auto" w:fill="FFFFFF"/>
            <w:vAlign w:val="center"/>
          </w:tcPr>
          <w:p>
            <w:pPr>
              <w:jc w:val="center"/>
            </w:pPr>
            <w:r>
              <w:rPr>
                <w:b w:val="0"/>
                <w:i w:val="0"/>
                <w:color w:val="6B7C93"/>
                <w:sz w:val="20"/>
              </w:rPr>
              <w:t>✗</w:t>
            </w:r>
          </w:p>
        </w:tc>
      </w:tr>
      <w:tr>
        <w:tc>
          <w:tcPr>
            <w:tcW w:type="dxa" w:w="2232"/>
            <w:shd w:val="clear" w:color="auto" w:fill="F4F6F8"/>
          </w:tcPr>
          <w:p>
            <w:r>
              <w:rPr>
                <w:b/>
                <w:i w:val="0"/>
                <w:color w:val="445A6A"/>
                <w:sz w:val="16"/>
              </w:rPr>
              <w:t>Multi-language UI</w:t>
            </w:r>
          </w:p>
        </w:tc>
        <w:tc>
          <w:tcPr>
            <w:tcW w:type="dxa" w:w="1800"/>
            <w:shd w:val="clear" w:color="auto" w:fill="FFF5F6"/>
            <w:vAlign w:val="center"/>
          </w:tcPr>
          <w:p>
            <w:pPr>
              <w:jc w:val="center"/>
            </w:pPr>
            <w:r>
              <w:rPr>
                <w:b/>
                <w:i w:val="0"/>
                <w:color w:val="C8102E"/>
                <w:sz w:val="18"/>
              </w:rPr>
              <w:t>EN/DE/FR/IT/ES</w:t>
            </w:r>
          </w:p>
        </w:tc>
        <w:tc>
          <w:tcPr>
            <w:tcW w:type="dxa" w:w="1944"/>
            <w:shd w:val="clear" w:color="auto" w:fill="FFEEEF"/>
            <w:vAlign w:val="center"/>
          </w:tcPr>
          <w:p>
            <w:pPr>
              <w:jc w:val="center"/>
            </w:pPr>
            <w:r>
              <w:rPr>
                <w:b/>
                <w:i w:val="0"/>
                <w:color w:val="C8102E"/>
                <w:sz w:val="18"/>
              </w:rPr>
              <w:t>EN/DE/FR/IT/ES</w:t>
            </w:r>
          </w:p>
        </w:tc>
        <w:tc>
          <w:tcPr>
            <w:tcW w:type="dxa" w:w="1728"/>
            <w:shd w:val="clear" w:color="auto" w:fill="FFFFFF"/>
            <w:vAlign w:val="center"/>
          </w:tcPr>
          <w:p>
            <w:pPr>
              <w:jc w:val="center"/>
            </w:pPr>
            <w:r>
              <w:rPr>
                <w:b w:val="0"/>
                <w:i w:val="0"/>
                <w:color w:val="445A6A"/>
                <w:sz w:val="16"/>
              </w:rPr>
              <w:t>EN only</w:t>
            </w:r>
          </w:p>
        </w:tc>
        <w:tc>
          <w:tcPr>
            <w:tcW w:type="dxa" w:w="1728"/>
            <w:shd w:val="clear" w:color="auto" w:fill="FFFFFF"/>
            <w:vAlign w:val="center"/>
          </w:tcPr>
          <w:p>
            <w:pPr>
              <w:jc w:val="center"/>
            </w:pPr>
            <w:r>
              <w:rPr>
                <w:b w:val="0"/>
                <w:i w:val="0"/>
                <w:color w:val="445A6A"/>
                <w:sz w:val="16"/>
              </w:rPr>
              <w:t>EN only</w:t>
            </w:r>
          </w:p>
        </w:tc>
        <w:tc>
          <w:tcPr>
            <w:tcW w:type="dxa" w:w="1728"/>
            <w:shd w:val="clear" w:color="auto" w:fill="FFFFFF"/>
            <w:vAlign w:val="center"/>
          </w:tcPr>
          <w:p>
            <w:pPr>
              <w:jc w:val="center"/>
            </w:pPr>
            <w:r>
              <w:rPr>
                <w:b w:val="0"/>
                <w:i w:val="0"/>
                <w:color w:val="445A6A"/>
                <w:sz w:val="16"/>
              </w:rPr>
              <w:t>EN only</w:t>
            </w:r>
          </w:p>
        </w:tc>
        <w:tc>
          <w:tcPr>
            <w:tcW w:type="dxa" w:w="1728"/>
            <w:shd w:val="clear" w:color="auto" w:fill="FFFFFF"/>
            <w:vAlign w:val="center"/>
          </w:tcPr>
          <w:p>
            <w:pPr>
              <w:jc w:val="center"/>
            </w:pPr>
            <w:r>
              <w:rPr>
                <w:b w:val="0"/>
                <w:i w:val="0"/>
                <w:color w:val="445A6A"/>
                <w:sz w:val="16"/>
              </w:rPr>
              <w:t>EN only</w:t>
            </w:r>
          </w:p>
        </w:tc>
      </w:tr>
      <w:tr>
        <w:tc>
          <w:tcPr>
            <w:tcW w:type="dxa" w:w="12888"/>
            <w:gridSpan w:val="7"/>
            <w:shd w:val="clear" w:color="auto" w:fill="1A2B40"/>
          </w:tcPr>
          <w:p>
            <w:pPr>
              <w:jc w:val="left"/>
            </w:pPr>
            <w:r>
              <w:rPr>
                <w:b/>
                <w:i w:val="0"/>
                <w:color w:val="8EA0B4"/>
                <w:sz w:val="16"/>
              </w:rPr>
              <w:t>COMMERCIAL</w:t>
            </w:r>
          </w:p>
        </w:tc>
      </w:tr>
      <w:tr>
        <w:tc>
          <w:tcPr>
            <w:tcW w:type="dxa" w:w="2232"/>
            <w:shd w:val="clear" w:color="auto" w:fill="F4F6F8"/>
          </w:tcPr>
          <w:p>
            <w:r>
              <w:rPr>
                <w:b/>
                <w:i w:val="0"/>
                <w:color w:val="445A6A"/>
                <w:sz w:val="16"/>
              </w:rPr>
              <w:t>Est. device price</w:t>
            </w:r>
          </w:p>
        </w:tc>
        <w:tc>
          <w:tcPr>
            <w:tcW w:type="dxa" w:w="1800"/>
            <w:shd w:val="clear" w:color="auto" w:fill="FFF5F6"/>
            <w:vAlign w:val="center"/>
          </w:tcPr>
          <w:p>
            <w:pPr>
              <w:jc w:val="center"/>
            </w:pPr>
            <w:r>
              <w:rPr>
                <w:b/>
                <w:i w:val="0"/>
                <w:color w:val="C8102E"/>
                <w:sz w:val="18"/>
              </w:rPr>
              <w:t>$16,999</w:t>
            </w:r>
          </w:p>
        </w:tc>
        <w:tc>
          <w:tcPr>
            <w:tcW w:type="dxa" w:w="1944"/>
            <w:shd w:val="clear" w:color="auto" w:fill="FFEEEF"/>
            <w:vAlign w:val="center"/>
          </w:tcPr>
          <w:p>
            <w:pPr>
              <w:jc w:val="center"/>
            </w:pPr>
            <w:r>
              <w:rPr>
                <w:b/>
                <w:i w:val="0"/>
                <w:color w:val="C8102E"/>
                <w:sz w:val="18"/>
              </w:rPr>
              <w:t>$26,999</w:t>
            </w:r>
          </w:p>
        </w:tc>
        <w:tc>
          <w:tcPr>
            <w:tcW w:type="dxa" w:w="1728"/>
            <w:shd w:val="clear" w:color="auto" w:fill="FFFFFF"/>
            <w:vAlign w:val="center"/>
          </w:tcPr>
          <w:p>
            <w:pPr>
              <w:jc w:val="center"/>
            </w:pPr>
            <w:r>
              <w:rPr>
                <w:b w:val="0"/>
                <w:i w:val="0"/>
                <w:color w:val="445A6A"/>
                <w:sz w:val="16"/>
              </w:rPr>
              <w:t>~$65K+ est.</w:t>
            </w:r>
          </w:p>
        </w:tc>
        <w:tc>
          <w:tcPr>
            <w:tcW w:type="dxa" w:w="1728"/>
            <w:shd w:val="clear" w:color="auto" w:fill="FFFFFF"/>
            <w:vAlign w:val="center"/>
          </w:tcPr>
          <w:p>
            <w:pPr>
              <w:jc w:val="center"/>
            </w:pPr>
            <w:r>
              <w:rPr>
                <w:b w:val="0"/>
                <w:i w:val="0"/>
                <w:color w:val="445A6A"/>
                <w:sz w:val="16"/>
              </w:rPr>
              <w:t>~$45–85K est.</w:t>
            </w:r>
          </w:p>
        </w:tc>
        <w:tc>
          <w:tcPr>
            <w:tcW w:type="dxa" w:w="1728"/>
            <w:shd w:val="clear" w:color="auto" w:fill="FFFFFF"/>
            <w:vAlign w:val="center"/>
          </w:tcPr>
          <w:p>
            <w:pPr>
              <w:jc w:val="center"/>
            </w:pPr>
            <w:r>
              <w:rPr>
                <w:b w:val="0"/>
                <w:i w:val="0"/>
                <w:color w:val="445A6A"/>
                <w:sz w:val="16"/>
              </w:rPr>
              <w:t>~$35K+ est.</w:t>
            </w:r>
          </w:p>
        </w:tc>
        <w:tc>
          <w:tcPr>
            <w:tcW w:type="dxa" w:w="1728"/>
            <w:shd w:val="clear" w:color="auto" w:fill="FFFFFF"/>
            <w:vAlign w:val="center"/>
          </w:tcPr>
          <w:p>
            <w:pPr>
              <w:jc w:val="center"/>
            </w:pPr>
            <w:r>
              <w:rPr>
                <w:b w:val="0"/>
                <w:i w:val="0"/>
                <w:color w:val="445A6A"/>
                <w:sz w:val="16"/>
              </w:rPr>
              <w:t>Consumer</w:t>
            </w:r>
          </w:p>
        </w:tc>
      </w:tr>
      <w:tr>
        <w:tc>
          <w:tcPr>
            <w:tcW w:type="dxa" w:w="2232"/>
            <w:shd w:val="clear" w:color="auto" w:fill="F4F6F8"/>
          </w:tcPr>
          <w:p>
            <w:r>
              <w:rPr>
                <w:b/>
                <w:i w:val="0"/>
                <w:color w:val="445A6A"/>
                <w:sz w:val="16"/>
              </w:rPr>
              <w:t>B2B / clinic fit</w:t>
            </w:r>
          </w:p>
        </w:tc>
        <w:tc>
          <w:tcPr>
            <w:tcW w:type="dxa" w:w="1800"/>
            <w:shd w:val="clear" w:color="auto" w:fill="FFF5F6"/>
            <w:vAlign w:val="center"/>
          </w:tcPr>
          <w:p>
            <w:pPr>
              <w:jc w:val="center"/>
            </w:pPr>
            <w:r>
              <w:rPr>
                <w:b/>
                <w:i w:val="0"/>
                <w:color w:val="00C878"/>
                <w:sz w:val="20"/>
              </w:rPr>
              <w:t>✓</w:t>
            </w:r>
          </w:p>
        </w:tc>
        <w:tc>
          <w:tcPr>
            <w:tcW w:type="dxa" w:w="1944"/>
            <w:shd w:val="clear" w:color="auto" w:fill="FFEEEF"/>
            <w:vAlign w:val="center"/>
          </w:tcPr>
          <w:p>
            <w:pPr>
              <w:jc w:val="center"/>
            </w:pPr>
            <w:r>
              <w:rPr>
                <w:b/>
                <w:i w:val="0"/>
                <w:color w:val="00C878"/>
                <w:sz w:val="20"/>
              </w:rPr>
              <w:t>✓</w:t>
            </w:r>
          </w:p>
        </w:tc>
        <w:tc>
          <w:tcPr>
            <w:tcW w:type="dxa" w:w="1728"/>
            <w:shd w:val="clear" w:color="auto" w:fill="FFFFFF"/>
            <w:vAlign w:val="center"/>
          </w:tcPr>
          <w:p>
            <w:pPr>
              <w:jc w:val="center"/>
            </w:pPr>
            <w:r>
              <w:rPr>
                <w:b/>
                <w:i w:val="0"/>
                <w:color w:val="00C878"/>
                <w:sz w:val="20"/>
              </w:rPr>
              <w:t>✓</w:t>
            </w:r>
          </w:p>
        </w:tc>
        <w:tc>
          <w:tcPr>
            <w:tcW w:type="dxa" w:w="1728"/>
            <w:shd w:val="clear" w:color="auto" w:fill="FFFFFF"/>
            <w:vAlign w:val="center"/>
          </w:tcPr>
          <w:p>
            <w:pPr>
              <w:jc w:val="center"/>
            </w:pPr>
            <w:r>
              <w:rPr>
                <w:b/>
                <w:i w:val="0"/>
                <w:color w:val="00C878"/>
                <w:sz w:val="20"/>
              </w:rPr>
              <w:t>✓</w:t>
            </w:r>
          </w:p>
        </w:tc>
        <w:tc>
          <w:tcPr>
            <w:tcW w:type="dxa" w:w="1728"/>
            <w:shd w:val="clear" w:color="auto" w:fill="FFFFFF"/>
            <w:vAlign w:val="center"/>
          </w:tcPr>
          <w:p>
            <w:pPr>
              <w:jc w:val="center"/>
            </w:pPr>
            <w:r>
              <w:rPr>
                <w:b/>
                <w:i w:val="0"/>
                <w:color w:val="00C878"/>
                <w:sz w:val="20"/>
              </w:rPr>
              <w:t>✓</w:t>
            </w:r>
          </w:p>
        </w:tc>
        <w:tc>
          <w:tcPr>
            <w:tcW w:type="dxa" w:w="1728"/>
            <w:shd w:val="clear" w:color="auto" w:fill="FFFFFF"/>
            <w:vAlign w:val="center"/>
          </w:tcPr>
          <w:p>
            <w:pPr>
              <w:jc w:val="center"/>
            </w:pPr>
            <w:r>
              <w:rPr>
                <w:b w:val="0"/>
                <w:i w:val="0"/>
                <w:color w:val="6B7C93"/>
                <w:sz w:val="20"/>
              </w:rPr>
              <w:t>✗</w:t>
            </w:r>
          </w:p>
        </w:tc>
      </w:tr>
      <w:tr>
        <w:tc>
          <w:tcPr>
            <w:tcW w:type="dxa" w:w="2232"/>
            <w:shd w:val="clear" w:color="auto" w:fill="F4F6F8"/>
          </w:tcPr>
          <w:p>
            <w:r>
              <w:rPr>
                <w:b/>
                <w:i w:val="0"/>
                <w:color w:val="445A6A"/>
                <w:sz w:val="16"/>
              </w:rPr>
              <w:t>Published clinical evidence</w:t>
            </w:r>
          </w:p>
        </w:tc>
        <w:tc>
          <w:tcPr>
            <w:tcW w:type="dxa" w:w="1800"/>
            <w:shd w:val="clear" w:color="auto" w:fill="FFF5F6"/>
            <w:vAlign w:val="center"/>
          </w:tcPr>
          <w:p>
            <w:pPr>
              <w:jc w:val="center"/>
            </w:pPr>
            <w:r>
              <w:rPr>
                <w:b w:val="0"/>
                <w:i w:val="0"/>
                <w:color w:val="445A6A"/>
                <w:sz w:val="16"/>
              </w:rPr>
              <w:t>PBM category</w:t>
            </w:r>
          </w:p>
        </w:tc>
        <w:tc>
          <w:tcPr>
            <w:tcW w:type="dxa" w:w="1944"/>
            <w:shd w:val="clear" w:color="auto" w:fill="FFEEEF"/>
            <w:vAlign w:val="center"/>
          </w:tcPr>
          <w:p>
            <w:pPr>
              <w:jc w:val="center"/>
            </w:pPr>
            <w:r>
              <w:rPr>
                <w:b w:val="0"/>
                <w:i w:val="0"/>
                <w:color w:val="445A6A"/>
                <w:sz w:val="16"/>
              </w:rPr>
              <w:t>PBM category</w:t>
            </w:r>
          </w:p>
        </w:tc>
        <w:tc>
          <w:tcPr>
            <w:tcW w:type="dxa" w:w="1728"/>
            <w:shd w:val="clear" w:color="auto" w:fill="FFFFFF"/>
            <w:vAlign w:val="center"/>
          </w:tcPr>
          <w:p>
            <w:pPr>
              <w:jc w:val="center"/>
            </w:pPr>
            <w:r>
              <w:rPr>
                <w:b w:val="0"/>
                <w:i w:val="0"/>
                <w:color w:val="445A6A"/>
                <w:sz w:val="16"/>
              </w:rPr>
              <w:t>✓ Manufacturer</w:t>
            </w:r>
          </w:p>
        </w:tc>
        <w:tc>
          <w:tcPr>
            <w:tcW w:type="dxa" w:w="1728"/>
            <w:shd w:val="clear" w:color="auto" w:fill="FFFFFF"/>
            <w:vAlign w:val="center"/>
          </w:tcPr>
          <w:p>
            <w:pPr>
              <w:jc w:val="center"/>
            </w:pPr>
            <w:r>
              <w:rPr>
                <w:b w:val="0"/>
                <w:i w:val="0"/>
                <w:color w:val="445A6A"/>
                <w:sz w:val="16"/>
              </w:rPr>
              <w:t>Some</w:t>
            </w:r>
          </w:p>
        </w:tc>
        <w:tc>
          <w:tcPr>
            <w:tcW w:type="dxa" w:w="1728"/>
            <w:shd w:val="clear" w:color="auto" w:fill="FFFFFF"/>
            <w:vAlign w:val="center"/>
          </w:tcPr>
          <w:p>
            <w:pPr>
              <w:jc w:val="center"/>
            </w:pPr>
            <w:r>
              <w:rPr>
                <w:b w:val="0"/>
                <w:i w:val="0"/>
                <w:color w:val="445A6A"/>
                <w:sz w:val="16"/>
              </w:rPr>
              <w:t>Some</w:t>
            </w:r>
          </w:p>
        </w:tc>
        <w:tc>
          <w:tcPr>
            <w:tcW w:type="dxa" w:w="1728"/>
            <w:shd w:val="clear" w:color="auto" w:fill="FFFFFF"/>
            <w:vAlign w:val="center"/>
          </w:tcPr>
          <w:p>
            <w:pPr>
              <w:jc w:val="center"/>
            </w:pPr>
            <w:r>
              <w:rPr>
                <w:b w:val="0"/>
                <w:i w:val="0"/>
                <w:color w:val="6B7C93"/>
                <w:sz w:val="20"/>
              </w:rPr>
              <w:t>✗</w:t>
            </w:r>
          </w:p>
        </w:tc>
      </w:tr>
    </w:tbl>
    <w:p/>
    <w:tbl>
      <w:tblPr>
        <w:tblStyle w:val="TableGrid"/>
        <w:tblW w:type="auto" w:w="0"/>
        <w:jc w:val="center"/>
        <w:tblLayout w:type="fixed"/>
        <w:tblLook w:firstColumn="1" w:firstRow="1" w:lastColumn="0" w:lastRow="0" w:noHBand="0" w:noVBand="1" w:val="04A0"/>
      </w:tblPr>
      <w:tblGrid>
        <w:gridCol w:w="6624"/>
        <w:gridCol w:w="6624"/>
      </w:tblGrid>
      <w:tr>
        <w:tc>
          <w:tcPr>
            <w:tcW w:type="dxa" w:w="7070"/>
            <w:shd w:val="clear" w:color="auto" w:fill="F4F6F8"/>
          </w:tcPr>
          <w:p>
            <w:r>
              <w:rPr>
                <w:b/>
                <w:i w:val="0"/>
                <w:color w:val="C8102E"/>
                <w:sz w:val="18"/>
              </w:rPr>
              <w:t>AXRAH CHAMBER ULTRA — KEY ADVANTAGES</w:t>
              <w:br/>
            </w:r>
            <w:r>
              <w:rPr>
                <w:b w:val="0"/>
                <w:i w:val="0"/>
                <w:color w:val="C8102E"/>
                <w:sz w:val="16"/>
              </w:rPr>
              <w:t xml:space="preserve">• </w:t>
            </w:r>
            <w:r>
              <w:rPr>
                <w:b/>
                <w:i w:val="0"/>
                <w:color w:val="445A6A"/>
                <w:sz w:val="16"/>
              </w:rPr>
              <w:t>43,200 LEDs</w:t>
            </w:r>
            <w:r>
              <w:rPr>
                <w:b w:val="0"/>
                <w:i w:val="0"/>
                <w:color w:val="445A6A"/>
                <w:sz w:val="16"/>
              </w:rPr>
              <w:t xml:space="preserve"> — 2.5× Prism Light Pod, 6.2× MitoPOD</w:t>
              <w:br/>
            </w:r>
            <w:r>
              <w:rPr>
                <w:b w:val="0"/>
                <w:i w:val="0"/>
                <w:color w:val="C8102E"/>
                <w:sz w:val="16"/>
              </w:rPr>
              <w:t xml:space="preserve">• </w:t>
            </w:r>
            <w:r>
              <w:rPr>
                <w:b/>
                <w:i w:val="0"/>
                <w:color w:val="445A6A"/>
                <w:sz w:val="16"/>
              </w:rPr>
              <w:t>5 wavelengths</w:t>
            </w:r>
            <w:r>
              <w:rPr>
                <w:b w:val="0"/>
                <w:i w:val="0"/>
                <w:color w:val="445A6A"/>
                <w:sz w:val="16"/>
              </w:rPr>
              <w:t xml:space="preserve"> — broadest in class (633/660/810/940/1060nm)</w:t>
              <w:br/>
            </w:r>
            <w:r>
              <w:rPr>
                <w:b w:val="0"/>
                <w:i w:val="0"/>
                <w:color w:val="C8102E"/>
                <w:sz w:val="16"/>
              </w:rPr>
              <w:t xml:space="preserve">• </w:t>
            </w:r>
            <w:r>
              <w:rPr>
                <w:b/>
                <w:i w:val="0"/>
                <w:color w:val="445A6A"/>
                <w:sz w:val="16"/>
              </w:rPr>
              <w:t>129 mW/cm²</w:t>
            </w:r>
            <w:r>
              <w:rPr>
                <w:b w:val="0"/>
                <w:i w:val="0"/>
                <w:color w:val="445A6A"/>
                <w:sz w:val="16"/>
              </w:rPr>
              <w:t xml:space="preserve"> — 4.3× the irradiance of MitoPOD</w:t>
              <w:br/>
            </w:r>
            <w:r>
              <w:rPr>
                <w:b w:val="0"/>
                <w:i w:val="0"/>
                <w:color w:val="C8102E"/>
                <w:sz w:val="16"/>
              </w:rPr>
              <w:t xml:space="preserve">• </w:t>
            </w:r>
            <w:r>
              <w:rPr>
                <w:b/>
                <w:i w:val="0"/>
                <w:color w:val="445A6A"/>
                <w:sz w:val="16"/>
              </w:rPr>
              <w:t>Pulse 1–10,000 Hz</w:t>
            </w:r>
            <w:r>
              <w:rPr>
                <w:b w:val="0"/>
                <w:i w:val="0"/>
                <w:color w:val="445A6A"/>
                <w:sz w:val="16"/>
              </w:rPr>
              <w:t xml:space="preserve"> — no competitor at this price point</w:t>
              <w:br/>
            </w:r>
            <w:r>
              <w:rPr>
                <w:b w:val="0"/>
                <w:i w:val="0"/>
                <w:color w:val="C8102E"/>
                <w:sz w:val="16"/>
              </w:rPr>
              <w:t xml:space="preserve">• </w:t>
            </w:r>
            <w:r>
              <w:rPr>
                <w:b/>
                <w:i w:val="0"/>
                <w:color w:val="445A6A"/>
                <w:sz w:val="16"/>
              </w:rPr>
              <w:t>~1/3 price of NovoTHOR</w:t>
            </w:r>
            <w:r>
              <w:rPr>
                <w:b w:val="0"/>
                <w:i w:val="0"/>
                <w:color w:val="445A6A"/>
                <w:sz w:val="16"/>
              </w:rPr>
              <w:t xml:space="preserve"> — for superior specification</w:t>
              <w:br/>
            </w:r>
            <w:r>
              <w:rPr>
                <w:b w:val="0"/>
                <w:i w:val="0"/>
                <w:color w:val="C8102E"/>
                <w:sz w:val="16"/>
              </w:rPr>
              <w:t xml:space="preserve">• </w:t>
            </w:r>
            <w:r>
              <w:rPr>
                <w:b/>
                <w:i w:val="0"/>
                <w:color w:val="445A6A"/>
                <w:sz w:val="16"/>
              </w:rPr>
              <w:t>5-language UI</w:t>
            </w:r>
            <w:r>
              <w:rPr>
                <w:b w:val="0"/>
                <w:i w:val="0"/>
                <w:color w:val="445A6A"/>
                <w:sz w:val="16"/>
              </w:rPr>
              <w:t xml:space="preserve"> — built for global deployment</w:t>
              <w:br/>
            </w:r>
          </w:p>
        </w:tc>
        <w:tc>
          <w:tcPr>
            <w:tcW w:type="dxa" w:w="7070"/>
            <w:shd w:val="clear" w:color="auto" w:fill="F4F6F8"/>
          </w:tcPr>
          <w:p>
            <w:r>
              <w:rPr>
                <w:b/>
                <w:i w:val="0"/>
                <w:color w:val="C8102E"/>
                <w:sz w:val="18"/>
              </w:rPr>
              <w:t>B2B TARGET USE CASES</w:t>
              <w:br/>
            </w:r>
            <w:r>
              <w:rPr>
                <w:b w:val="0"/>
                <w:i w:val="0"/>
                <w:color w:val="C8102E"/>
                <w:sz w:val="16"/>
              </w:rPr>
              <w:t xml:space="preserve">• </w:t>
            </w:r>
            <w:r>
              <w:rPr>
                <w:b/>
                <w:i w:val="0"/>
                <w:color w:val="445A6A"/>
                <w:sz w:val="16"/>
              </w:rPr>
              <w:t>Chamber ($16,999)</w:t>
            </w:r>
            <w:r>
              <w:rPr>
                <w:b w:val="0"/>
                <w:i w:val="0"/>
                <w:color w:val="445A6A"/>
                <w:sz w:val="16"/>
              </w:rPr>
              <w:t xml:space="preserve"> — Medspas, chiropractic, PT clinics, boutique gyms</w:t>
              <w:br/>
            </w:r>
            <w:r>
              <w:rPr>
                <w:b w:val="0"/>
                <w:i w:val="0"/>
                <w:color w:val="C8102E"/>
                <w:sz w:val="16"/>
              </w:rPr>
              <w:t xml:space="preserve">• </w:t>
            </w:r>
            <w:r>
              <w:rPr>
                <w:b/>
                <w:i w:val="0"/>
                <w:color w:val="445A6A"/>
                <w:sz w:val="16"/>
              </w:rPr>
              <w:t>Chamber Ultra ($26,999)</w:t>
            </w:r>
            <w:r>
              <w:rPr>
                <w:b w:val="0"/>
                <w:i w:val="0"/>
                <w:color w:val="445A6A"/>
                <w:sz w:val="16"/>
              </w:rPr>
              <w:t xml:space="preserve"> — Performance centers, sports teams, luxury hotels,</w:t>
              <w:br/>
              <w:t xml:space="preserve">   neurological rehab, integrative medicine</w:t>
              <w:br/>
            </w:r>
            <w:r>
              <w:rPr>
                <w:b w:val="0"/>
                <w:i w:val="0"/>
                <w:color w:val="C8102E"/>
                <w:sz w:val="16"/>
              </w:rPr>
              <w:t xml:space="preserve">• </w:t>
            </w:r>
            <w:r>
              <w:rPr>
                <w:b/>
                <w:i w:val="0"/>
                <w:color w:val="445A6A"/>
                <w:sz w:val="16"/>
              </w:rPr>
              <w:t>Session pricing</w:t>
            </w:r>
            <w:r>
              <w:rPr>
                <w:b w:val="0"/>
                <w:i w:val="0"/>
                <w:color w:val="445A6A"/>
                <w:sz w:val="16"/>
              </w:rPr>
              <w:t xml:space="preserve"> — $50–$100/session typical; payback in 6–18 months</w:t>
              <w:br/>
            </w:r>
            <w:r>
              <w:rPr>
                <w:b w:val="0"/>
                <w:i w:val="0"/>
                <w:color w:val="C8102E"/>
                <w:sz w:val="16"/>
              </w:rPr>
              <w:t xml:space="preserve">• </w:t>
            </w:r>
            <w:r>
              <w:rPr>
                <w:b/>
                <w:i w:val="0"/>
                <w:color w:val="445A6A"/>
                <w:sz w:val="16"/>
              </w:rPr>
              <w:t>Wireless + programmable</w:t>
            </w:r>
            <w:r>
              <w:rPr>
                <w:b w:val="0"/>
                <w:i w:val="0"/>
                <w:color w:val="445A6A"/>
                <w:sz w:val="16"/>
              </w:rPr>
              <w:t xml:space="preserve"> — Built for staff-run clinical environments</w:t>
              <w:br/>
            </w:r>
          </w:p>
        </w:tc>
      </w:tr>
    </w:tbl>
    <w:p/>
    <w:p>
      <w:r>
        <w:rPr>
          <w:b w:val="0"/>
          <w:i/>
          <w:color w:val="6B7C93"/>
          <w:sz w:val="14"/>
        </w:rPr>
        <w:t>Competitor prices are estimates based on publicly available sources and may vary by configuration, region, or distributor. Always present competitor figures as approximate. AXRAH device specs per official product pages (May 2026). Competitor LED counts and irradiance reflect publicly available data; "N/A public" indicates specifications not published by the manufacturer. © AXRAH 2026 — Internal use only.</w:t>
      </w:r>
    </w:p>
    <w:sectPr w:rsidR="00FC693F" w:rsidRPr="0006063C" w:rsidSect="00034616">
      <w:pgSz w:w="15840" w:h="12240"/>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