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Observing Robot Failures in Classrooms</w:t>
      </w:r>
    </w:p>
    <w:p>
      <w:pPr>
        <w:pStyle w:val="Heading1"/>
      </w:pPr>
      <w:r>
        <w:rPr>
          <w:sz w:val="22"/>
        </w:rPr>
        <w:t>Abstract</w:t>
      </w:r>
    </w:p>
    <w:p>
      <w:r>
        <w:rPr>
          <w:sz w:val="22"/>
        </w:rPr>
        <w:t>According to productive failure theory, experiencing failure during problem-solving can enhance knowledge acquisition in subsequent instruction. We designed a social robot-assisted teaching activity in which students observe unsuccessful problem-solving attempts.</w:t>
      </w:r>
    </w:p>
    <w:p>
      <w:pPr>
        <w:pStyle w:val="Heading1"/>
      </w:pPr>
      <w:r>
        <w:rPr>
          <w:sz w:val="22"/>
        </w:rPr>
        <w:t>Methods</w:t>
      </w:r>
    </w:p>
    <w:p>
      <w:r>
        <w:rPr>
          <w:sz w:val="22"/>
        </w:rPr>
        <w:t xml:space="preserve">We compared three instructional conditions. </w:t>
      </w:r>
      <w:r>
        <w:rPr>
          <w:b/>
          <w:sz w:val="22"/>
        </w:rPr>
        <w:t>The robot failure condition</w:t>
      </w:r>
      <w:r>
        <w:rPr>
          <w:sz w:val="22"/>
        </w:rPr>
        <w:t xml:space="preserve"> produced the largest conceptual gain.</w:t>
      </w:r>
    </w:p>
    <w:p>
      <w:pPr>
        <w:pStyle w:val="ListBullet"/>
      </w:pPr>
      <w:r>
        <w:rPr>
          <w:sz w:val="22"/>
        </w:rPr>
        <w:t>Random assignment to conditions</w:t>
      </w:r>
    </w:p>
    <w:p>
      <w:pPr>
        <w:pStyle w:val="ListBullet"/>
      </w:pPr>
      <w:r>
        <w:rPr>
          <w:sz w:val="22"/>
        </w:rPr>
        <w:t>Pretest and posttest measures</w:t>
      </w:r>
    </w:p>
    <w:p>
      <w:pPr>
        <w:pStyle w:val="Heading1"/>
      </w:pPr>
      <w:r>
        <w:rPr>
          <w:sz w:val="22"/>
        </w:rP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Participants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Robot failure</w:t>
            </w:r>
          </w:p>
        </w:tc>
        <w:tc>
          <w:tcPr>
            <w:tcW w:type="dxa" w:w="2880"/>
          </w:tcPr>
          <w:p>
            <w:r>
              <w:t>46 students</w:t>
            </w:r>
          </w:p>
        </w:tc>
        <w:tc>
          <w:tcPr>
            <w:tcW w:type="dxa" w:w="2880"/>
          </w:tcPr>
          <w:p>
            <w:r>
              <w:t>High improvement</w:t>
            </w:r>
          </w:p>
        </w:tc>
      </w:tr>
      <w:tr>
        <w:tc>
          <w:tcPr>
            <w:tcW w:type="dxa" w:w="2880"/>
          </w:tcPr>
          <w:p>
            <w:r>
              <w:t>Direct instruction</w:t>
            </w:r>
          </w:p>
        </w:tc>
        <w:tc>
          <w:tcPr>
            <w:tcW w:type="dxa" w:w="2880"/>
          </w:tcPr>
          <w:p>
            <w:r>
              <w:t>44 students</w:t>
            </w:r>
          </w:p>
        </w:tc>
        <w:tc>
          <w:tcPr>
            <w:tcW w:type="dxa" w:w="2880"/>
          </w:tcPr>
          <w:p>
            <w:r>
              <w:t>Small improvement</w:t>
            </w:r>
          </w:p>
        </w:tc>
      </w:tr>
    </w:tbl>
    <w:p/>
    <w:p>
      <w:r>
        <w:rPr>
          <w:sz w:val="22"/>
        </w:rPr>
        <w:t>Numbers such as 135 and symbols like — are left alone.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Preprint version,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Journal of Educational Robotics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