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 w:line="240" w:lineRule="auto"/>
        <w:jc w:val="left"/>
      </w:pPr>
      <w:r>
        <w:rPr>
          <w:rFonts w:ascii="Times New Roman" w:hAnsi="Times New Roman"/>
          <w:b/>
          <w:sz w:val="22"/>
        </w:rPr>
        <w:t>Supplementary Tables</w:t>
      </w:r>
    </w:p>
    <w:p>
      <w:pPr>
        <w:spacing w:before="200" w:after="80" w:line="240" w:lineRule="auto"/>
        <w:jc w:val="left"/>
      </w:pPr>
      <w:r>
        <w:rPr>
          <w:rFonts w:ascii="Times New Roman" w:hAnsi="Times New Roman"/>
          <w:b/>
          <w:sz w:val="22"/>
        </w:rPr>
        <w:t>Table S1. Core MR results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Category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Trait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Sample Size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SNPs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Population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First Author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Consortium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Alcoholic drinks per week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335394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Liu M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GWAS and Sequencing Consortium of Alcohol and Nicotine use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Apolipoprotein A1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398508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284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Barton AR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Apolipoprotein B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435744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189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Barton AR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Average diameter for HDL particles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115082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96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Richardson TG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C-reactive protein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575531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264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Said 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Concentration of large HDL particles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115082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101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Richardson TG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Concentration of small LDL particles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115082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57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Richardson TG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Concentration of very large HDL particles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115082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89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Richardson TG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Fasting glucose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200622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69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Chen J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Fasting insulin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151013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Chen J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Gamma glutamyl transferase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437651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349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Barton AR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Glycated hemoglobin HbA1c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389889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403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Mbatchou J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HDL cholesterol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403943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356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Richardson T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UK Biobank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Hypertension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462826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209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Tang H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UK Biobank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Insulin-like growth factor 1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435516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395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Barton AR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Interleukin-6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21758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Folkersen L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Interleukin-6 receptor subunit alpha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21758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Folkersen L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LDL cholesterol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440546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179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Richardson T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UK Biobank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Lung adenocarcinoma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65864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McKay JD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TRICL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85716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McKay JD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Ratio of apolipoprotein B to apolipoprotein A1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115082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72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Richardson TG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Remnant cholesterol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115082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53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Richardson TG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Serum 25-Hydroxyvitamin D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496946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Revez JA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62467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McKay JD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TRICL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Total concentration of branched-chain amino acids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115051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Richardson TG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Tumor necrosis factor receptor 1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21758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Folkersen L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Body mass index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681275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501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Yengo L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GIANT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Circulating leptin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49909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Yaghootkar H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Diastolic blood pressure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757601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460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Evangelou E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International Consortium of Blood Pressure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 initiation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607291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93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Liu M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GSCAN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Systolic blood pressure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757601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461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Evangelou E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International Consortium of Blood Pressure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Triglycerides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441016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313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Richardson T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UK Biobank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White blood cell count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563946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502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Vuckovic D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Blood Cell Consortium</w:t>
            </w:r>
          </w:p>
        </w:tc>
      </w:tr>
    </w:tbl>
    <w:p>
      <w:pPr>
        <w:spacing w:before="0" w:after="60" w:line="240" w:lineRule="auto"/>
      </w:pPr>
    </w:p>
    <w:p>
      <w:pPr>
        <w:spacing w:before="200" w:after="80" w:line="240" w:lineRule="auto"/>
        <w:jc w:val="left"/>
      </w:pPr>
      <w:r>
        <w:rPr>
          <w:rFonts w:ascii="Times New Roman" w:hAnsi="Times New Roman"/>
          <w:b/>
          <w:sz w:val="22"/>
        </w:rPr>
        <w:t>Table S2. MR sensitivity analyses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Exposure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Outcome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SNPs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OR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P-value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Heterogeneity P-value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Pleiotropy P-value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Circulating leptin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0.896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0.203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0.556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0.67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Circulating leptin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Lung adenocarcinoma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0.915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0.488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0.335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0.4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Circulating leptin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1.032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0.818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0.934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0.754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Vitamin D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1.015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0.753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3.00 × 10⁻⁴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0.1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Vitamin D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Lung adenocarcinoma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1.083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0.195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0.015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0.26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Vitamin D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0.995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0.947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0.009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0.335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HbA1c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366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0.415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2.47 × 10⁻⁹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0.29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HbA1c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Lung adenocarcinoma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379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0.926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0.085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0.008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0.772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HbA1c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379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1.067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0.248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8.16 × 10⁻⁷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0.348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BMI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478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1.211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7.22 × 10⁻⁵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5.32 × 10⁻¹⁷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0.274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BMI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Lung adenocarcinoma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499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1.049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0.406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6.87 × 10⁻⁶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0.558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BMI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499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1.428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3.47 × 10⁻⁷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7.43 × 10⁻¹⁰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0.476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 initiation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85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1.639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1.12 × 10⁻¹¹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6.00 × 10⁻⁴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0.724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 initiation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Lung adenocarcinoma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91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1.447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1.10 × 10⁻⁵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0.109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0.388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 initiation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91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1.863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2.34 × 10⁻⁸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4.00 × 10⁻⁴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0.401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Alcohol drinks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1.56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0.002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0.004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0.672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Alcohol drinks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Lung adenocarcinoma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1.673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0.008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0.006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0.101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Alcohol drinks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1.229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0.31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0.084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0.629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CRP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264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1.085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0.135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1.00 × 10⁻⁴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0.26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CRP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Lung adenocarcinoma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264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0.991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0.871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1.00 × 10⁻⁴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0.288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CRP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264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1.188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0.006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1.00 × 10⁻⁴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0.492</w:t>
            </w:r>
          </w:p>
        </w:tc>
      </w:tr>
    </w:tbl>
    <w:p>
      <w:pPr>
        <w:spacing w:before="0" w:after="60" w:line="240" w:lineRule="auto"/>
      </w:pPr>
    </w:p>
    <w:p>
      <w:pPr>
        <w:spacing w:before="200" w:after="80" w:line="240" w:lineRule="auto"/>
        <w:jc w:val="left"/>
      </w:pPr>
      <w:r>
        <w:rPr>
          <w:rFonts w:ascii="Times New Roman" w:hAnsi="Times New Roman"/>
          <w:b/>
          <w:sz w:val="22"/>
        </w:rPr>
        <w:t>Table S3. Extended MVMR analyses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Exposure</w:t>
            </w:r>
          </w:p>
        </w:tc>
        <w:tc>
          <w:tcPr>
            <w:tcW w:type="dxa" w:w="1728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Outcome</w:t>
            </w:r>
          </w:p>
        </w:tc>
        <w:tc>
          <w:tcPr>
            <w:tcW w:type="dxa" w:w="1728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Combination</w:t>
            </w:r>
          </w:p>
        </w:tc>
        <w:tc>
          <w:tcPr>
            <w:tcW w:type="dxa" w:w="1728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OR (95% CI)</w:t>
            </w:r>
          </w:p>
        </w:tc>
        <w:tc>
          <w:tcPr>
            <w:tcW w:type="dxa" w:w="1728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P-value</w:t>
            </w:r>
          </w:p>
        </w:tc>
      </w:tr>
      <w:tr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WBC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Overall lung cancer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Inflammatory: CRP + WBC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1.783 (1.758–1.808)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0.008</w:t>
            </w:r>
          </w:p>
        </w:tc>
      </w:tr>
      <w:tr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CRP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Overall lung cancer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Inflammatory: CRP + WBC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0.753 (0.747–0.759)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0.009</w:t>
            </w:r>
          </w:p>
        </w:tc>
      </w:tr>
      <w:tr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HbA1c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Lung adenocarcinoma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Metabolic: Glucose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0.346 (0.186–0.644)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0.044</w:t>
            </w:r>
          </w:p>
        </w:tc>
      </w:tr>
      <w:tr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BMI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Metabolic: BMI + HDL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0.454 (0.249–0.829)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0.124</w:t>
            </w:r>
          </w:p>
        </w:tc>
      </w:tr>
      <w:tr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HDL cholesterol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Overall lung cancer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Metabolic: BMI + HDL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0.326 (0.154–0.690)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0.099</w:t>
            </w:r>
          </w:p>
        </w:tc>
      </w:tr>
      <w:tr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Fasting glucose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Lung adenocarcinoma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Metabolic: Glucose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2.500 (1.249–5.005)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0.081</w:t>
            </w:r>
          </w:p>
        </w:tc>
      </w:tr>
      <w:tr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CRP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Lung adenocarcinoma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Inflammatory: CRP + WBC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0.818 (0.737–0.908)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0.166</w:t>
            </w:r>
          </w:p>
        </w:tc>
      </w:tr>
      <w:tr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CRP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Mixed: HDL + CRP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1.226 (0.998–1.507)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0.192</w:t>
            </w:r>
          </w:p>
        </w:tc>
      </w:tr>
      <w:tr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WBC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Lung adenocarcinoma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Inflammatory: CRP + WBC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1.283 (1.069–1.539)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0.228</w:t>
            </w:r>
          </w:p>
        </w:tc>
      </w:tr>
      <w:tr>
        <w:tc>
          <w:tcPr>
            <w:tcW w:type="dxa" w:w="1728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BMI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Overall lung cancer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Metabolic: BMI + HDL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0.503 (0.224–1.128)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0.237</w:t>
            </w:r>
          </w:p>
        </w:tc>
      </w:tr>
    </w:tbl>
    <w:p>
      <w:pPr>
        <w:spacing w:before="0" w:after="60" w:line="240" w:lineRule="auto"/>
      </w:pPr>
    </w:p>
    <w:p>
      <w:pPr>
        <w:spacing w:before="200" w:after="80" w:line="240" w:lineRule="auto"/>
        <w:jc w:val="left"/>
      </w:pPr>
      <w:r>
        <w:rPr>
          <w:rFonts w:ascii="Times New Roman" w:hAnsi="Times New Roman"/>
          <w:b/>
          <w:sz w:val="22"/>
        </w:rPr>
        <w:t>Table S4. Full colocalization results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Gene_Symbol</w:t>
            </w:r>
          </w:p>
        </w:tc>
        <w:tc>
          <w:tcPr>
            <w:tcW w:type="dxa" w:w="785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ENSEMBL_ID</w:t>
            </w:r>
          </w:p>
        </w:tc>
        <w:tc>
          <w:tcPr>
            <w:tcW w:type="dxa" w:w="785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Chromosome</w:t>
            </w:r>
          </w:p>
        </w:tc>
        <w:tc>
          <w:tcPr>
            <w:tcW w:type="dxa" w:w="785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Position_Start</w:t>
            </w:r>
          </w:p>
        </w:tc>
        <w:tc>
          <w:tcPr>
            <w:tcW w:type="dxa" w:w="785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Position_End</w:t>
            </w:r>
          </w:p>
        </w:tc>
        <w:tc>
          <w:tcPr>
            <w:tcW w:type="dxa" w:w="785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Colocalization_Score</w:t>
            </w:r>
          </w:p>
        </w:tc>
        <w:tc>
          <w:tcPr>
            <w:tcW w:type="dxa" w:w="785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SMR_P_Value</w:t>
            </w:r>
          </w:p>
        </w:tc>
        <w:tc>
          <w:tcPr>
            <w:tcW w:type="dxa" w:w="785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Hweis_P_Value</w:t>
            </w:r>
          </w:p>
        </w:tc>
        <w:tc>
          <w:tcPr>
            <w:tcW w:type="dxa" w:w="785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N_Mendelian_Randomization_Studies</w:t>
            </w:r>
          </w:p>
        </w:tc>
        <w:tc>
          <w:tcPr>
            <w:tcW w:type="dxa" w:w="785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Primary_Exposure_Trait</w:t>
            </w:r>
          </w:p>
        </w:tc>
        <w:tc>
          <w:tcPr>
            <w:tcW w:type="dxa" w:w="785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Primary_Outcome_Trait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SLC35E2B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ENSG00000189339.11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1097482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1101029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261.085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RPS7P5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ENSG00000227775.3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162847293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162847456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209.275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MMEL1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ENSG00000142606.15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1626996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1645679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177.318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NPPA-AS1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ENSG00000242349.5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11846634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11847324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169.430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Lnc-HES4–2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ENSG00000272512.1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14012456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14014567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153.493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ATAD3B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ENSG00000160072.19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1038523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1041234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148.545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ARHGEF19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ENSG00000142632.16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6723456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6725890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134.749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CDK11A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ENSG00000008128.22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16789012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16791234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134.117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WRAP73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ENSG00000116213.15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3456789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3467890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122.616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SLC25A34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ENSG00000162461.7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12345678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12347890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118.362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RP11–345P4.6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ENSG00000269737.2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9876543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9876789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108.037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MFAP2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ENSG00000117122.13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6789012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6792345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105.129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CEP104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ENSG00000116198.12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4567890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4578901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103.578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C1orf174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ENSG00000198912.10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7890123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7901234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101.681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SLC35E2A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ENSG00000215790.6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1096789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1100123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91.563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UTS2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ENSG00000049247.13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7890123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7893456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82.660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NPHP4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ENSG00000131697.17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5678901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5690123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75.480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CASP9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ENSG00000132906.17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15678901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15691234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73.046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CROCC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ENSG00000058453.16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23456789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23460123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72.644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ESPNP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ENSG00000268869.5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2345678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2346123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67.952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MFN2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ENSG00000116688.16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12345678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12348901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61.219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RNF207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ENSG00000158286.12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45678901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45681234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59.728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LINC00115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ENSG00000225880.5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7890123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7894567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59.342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PADI2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ENSG00000117115.12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15678901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15692345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58.201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C1orf159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ENSG00000131591.17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10123456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10126789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55.995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LOC105376805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ENSG00000238142.1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123456789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123460123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55.553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MRPL20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ENSG00000242485.5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23456789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23460123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55.118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AL359881.3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ENSG00000270171.1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78901234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78904567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53.190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ICMT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ENSG00000116237.15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34567890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34571234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51.438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FHAD1-AS1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ENSG00000233485.1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156789012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156792345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50.900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KIF1B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ENSG00000054523.17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10328790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10342123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50.874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THAP3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ENSG00000041988.15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2345678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2348123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47.659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MST1P2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ENSG00000186301.8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56789012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56792345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47.536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PLCH2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ENSG00000149527.17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9012345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9045678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47.372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PEX14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ENSG00000142655.12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4678901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4701234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45.058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LINC01409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ENSG00000237491.8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78901234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78904567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44.241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CAMTA1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ENSG00000171735.18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7890123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8123456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42.827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CLCNKB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ENSG00000184908.17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15978901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15991234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42.587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SSU72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ENSG00000160075.11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23456789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23480123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42.327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CDK11B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ENSG00000248333.8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16789012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16792345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41.959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MTHFR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ENSG00000177000.10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11796321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11816783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39.105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CALML6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ENSG00000169885.9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2345678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2378901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34.427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FBXO2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ENSG00000116661.9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11500001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11523456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34.040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Lnc-PEX10–5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ENSG00000272420.1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23456789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23460123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33.936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NOC2L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ENSG00000188976.10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956789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960123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33.690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FAAP20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ENSG00000162585.16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18978901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18982345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31.504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LINC01772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ENSG00000226029.1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123456789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123460123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28.197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SLC25A34-AS1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ENSG00000224459.1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12345678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12349012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23.823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PRKCZ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ENSG00000067606.16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2345678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2378901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18.832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MRPL20-AS1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ENSG00000224870.6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23456789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23460123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16.409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Squamous cell lung cancer</w:t>
            </w:r>
          </w:p>
        </w:tc>
      </w:tr>
    </w:tbl>
    <w:p>
      <w:pPr>
        <w:spacing w:before="0" w:after="60" w:line="240" w:lineRule="auto"/>
      </w:pPr>
    </w:p>
    <w:p>
      <w:pPr>
        <w:spacing w:before="200" w:after="80" w:line="240" w:lineRule="auto"/>
        <w:jc w:val="left"/>
      </w:pPr>
      <w:r>
        <w:rPr>
          <w:rFonts w:ascii="Times New Roman" w:hAnsi="Times New Roman"/>
          <w:b/>
          <w:sz w:val="22"/>
        </w:rPr>
        <w:t>Table S5. CpG-gene annotation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CpG_ID</w:t>
            </w:r>
          </w:p>
        </w:tc>
        <w:tc>
          <w:tcPr>
            <w:tcW w:type="dxa" w:w="144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Gene_Annotation</w:t>
            </w:r>
          </w:p>
        </w:tc>
        <w:tc>
          <w:tcPr>
            <w:tcW w:type="dxa" w:w="144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Coefficient_beta</w:t>
            </w:r>
          </w:p>
        </w:tc>
        <w:tc>
          <w:tcPr>
            <w:tcW w:type="dxa" w:w="144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HR</w:t>
            </w:r>
          </w:p>
        </w:tc>
        <w:tc>
          <w:tcPr>
            <w:tcW w:type="dxa" w:w="144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P_value</w:t>
            </w:r>
          </w:p>
        </w:tc>
        <w:tc>
          <w:tcPr>
            <w:tcW w:type="dxa" w:w="144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Direction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cg06238570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BRWD1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0.210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1.23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0.015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Risk-increasing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cg07318658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MTMR4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0.140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1.15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0.077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Risk-increasing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cg13144823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CXXC5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0.104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1.11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0.319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Risk-increasing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cg14526939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TOR1AIP1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-0.222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0.80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0.024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Protective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cg07151966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intergenic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-0.294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0.75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4.58 × 10⁻⁴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Protective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cg12672785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EED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0.041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1.04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0.656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Risk-increasing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cg05801080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LNP1; TOMM70A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0.075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1.08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0.428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Risk-increasing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cg07154958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intergenic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-0.205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0.81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0.144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Protective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cg16098170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JSRP1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0.253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1.29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0.013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Risk-increasing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cg09010499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BDKRB2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0.260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1.30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0.01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Risk-increasing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cg05984948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intergenic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-0.230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0.79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0.017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Protective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cg00646216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intergenic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-0.152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0.86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0.041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Protective</w:t>
            </w:r>
          </w:p>
        </w:tc>
      </w:tr>
    </w:tbl>
    <w:p>
      <w:pPr>
        <w:spacing w:before="0" w:after="60" w:line="240" w:lineRule="auto"/>
      </w:pPr>
    </w:p>
    <w:p>
      <w:pPr>
        <w:spacing w:before="200" w:after="80" w:line="240" w:lineRule="auto"/>
        <w:jc w:val="left"/>
      </w:pPr>
      <w:r>
        <w:rPr>
          <w:rFonts w:ascii="Times New Roman" w:hAnsi="Times New Roman"/>
          <w:b/>
          <w:sz w:val="22"/>
        </w:rPr>
        <w:t>Table S6. Full M12 model coefficients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CpG ID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Gene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β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HR (95% CI)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P-value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Direction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Selection frequency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cg06238570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BRWD1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0.210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1.23 (1.04–1.46)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0.015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Risk-increasing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1.000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cg07318658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MTMR4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0.140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1.15 (0.99–1.34)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0.077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Risk-increasing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1.000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cg13144823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CXXC5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0.104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1.11 (0.90–1.36)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0.319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Risk-increasing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1.000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cg14526939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TOR1AIP1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-0.221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0.80 (0.66–0.97)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0.024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Protective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1.000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cg07151966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intergenic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-0.294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0.75 (0.63–0.88)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4.58 × 10⁻⁴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Protective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1.000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cg12672785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EED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0.041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1.04 (0.87–1.25)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0.656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Risk-increasing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1.000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cg05801080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LNP1; TOMM70A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0.075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1.08 (0.90–1.30)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0.428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Risk-increasing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1.000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cg07154958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intergenic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-0.205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0.81 (0.62–1.07)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0.144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Protective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1.000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cg16098170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JSRP1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0.252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1.29 (1.05–1.57)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0.013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Risk-increasing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1.000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cg09010499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BDKRB2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0.260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1.30 (1.06–1.58)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Risk-increasing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1.000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cg05984948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intergenic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-0.229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0.80 (0.66–0.96)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0.017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Protective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1.000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cg00646216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intergenic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-0.152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0.86 (0.74–0.99)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0.041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Protective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1.000</w:t>
            </w:r>
          </w:p>
        </w:tc>
      </w:tr>
    </w:tbl>
    <w:p>
      <w:pPr>
        <w:spacing w:before="0" w:after="60" w:line="240" w:lineRule="auto"/>
      </w:pPr>
    </w:p>
    <w:p>
      <w:pPr>
        <w:spacing w:before="200" w:after="80" w:line="240" w:lineRule="auto"/>
        <w:jc w:val="left"/>
      </w:pPr>
      <w:r>
        <w:rPr>
          <w:rFonts w:ascii="Times New Roman" w:hAnsi="Times New Roman"/>
          <w:b/>
          <w:sz w:val="22"/>
        </w:rPr>
        <w:t>Table S7. Feature-selection process and top models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Section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Step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N_Features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Details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Source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Candidate model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N CpGs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Selection score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C-index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KM P-value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Mean AUC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AIC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Process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Raw features in matrix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350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After missing-value filter (&lt;=20%)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LASSO_enhanced_summary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Process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After univariate Cox prefilter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P-threshold=0.05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LASSO_enhanced_summary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Process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LASSO alpha=1 selected (lambda.min)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lambda.min=0.010235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LASSO_enhanced_summary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Process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Elastic Net alpha=0.5 selected (lambda.min)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lambda.min=0.020470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LASSO_enhanced_summary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Process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Final selected model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M12_Top12 by composite Selection_Score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Model_Comparison_14CpG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TopModels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M12_Top12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0.664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2.32 × 10⁻¹⁰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0.710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1512.6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TopModels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M14_Top14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0.669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3.19 × 10⁻¹⁰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0.714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1514.1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TopModels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M13_Top13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0.664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8.58 × 10⁻¹⁰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0.709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1514.4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TopModels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M11_Top11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0.659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3.18 × 10⁻⁸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0.695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1514.3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TopModels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M10_Top10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0.641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6.61 × 10⁻⁷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0.673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1518.1</w:t>
            </w:r>
          </w:p>
        </w:tc>
      </w:tr>
    </w:tbl>
    <w:p>
      <w:pPr>
        <w:spacing w:before="0" w:after="60" w:line="240" w:lineRule="auto"/>
      </w:pPr>
    </w:p>
    <w:p>
      <w:pPr>
        <w:spacing w:before="200" w:after="80" w:line="240" w:lineRule="auto"/>
        <w:jc w:val="left"/>
      </w:pPr>
      <w:r>
        <w:rPr>
          <w:rFonts w:ascii="Times New Roman" w:hAnsi="Times New Roman"/>
          <w:b/>
          <w:sz w:val="22"/>
        </w:rPr>
        <w:t>Table S8. Final M12 model performance summary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Dataset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Endpoint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HR (per SD, 95% CI)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P-value (HR per SD)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KM P-value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C-index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AUC (3-year)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Calibration slope (3Y)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Calibration R² (3Y)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Cutoff method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Cutoff value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TCGA (training)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Overall survival (OS)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364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2.07 (1.71–2.51)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7.08 × 10⁻¹⁴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2.32 × 10⁻¹⁰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0.664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0.685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1.227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0.843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Median cutoff derived from the training cohort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0.035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TCGA (internal validation)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Overall survival (OS)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110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2.66 (1.43–4.94)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0.002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0.001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Median cutoff derived from the training cohort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0.035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GSE39279 (external)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Recurrence-free survival (RFS)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122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0.022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Maxstat-derived optimal cutoff (external cohorts)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-4052.054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GSE30219 (external)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Overall survival (OS)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274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P = 0.002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Maxstat-derived optimal cutoff (external cohorts)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9.120</w:t>
            </w:r>
          </w:p>
        </w:tc>
      </w:tr>
    </w:tbl>
    <w:p>
      <w:pPr>
        <w:spacing w:before="0" w:after="60" w:line="240" w:lineRule="auto"/>
      </w:pPr>
    </w:p>
    <w:p>
      <w:pPr>
        <w:spacing w:before="200" w:after="80" w:line="240" w:lineRule="auto"/>
        <w:jc w:val="left"/>
      </w:pPr>
      <w:r>
        <w:rPr>
          <w:rFonts w:ascii="Times New Roman" w:hAnsi="Times New Roman"/>
          <w:b/>
          <w:sz w:val="22"/>
        </w:rPr>
        <w:t>Table S9. Diagnostic metrics (DCA + ROC + calibration)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Metric</w:t>
            </w:r>
          </w:p>
        </w:tc>
        <w:tc>
          <w:tcPr>
            <w:tcW w:type="dxa" w:w="216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Value</w:t>
            </w:r>
          </w:p>
        </w:tc>
        <w:tc>
          <w:tcPr>
            <w:tcW w:type="dxa" w:w="216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Method</w:t>
            </w:r>
          </w:p>
        </w:tc>
        <w:tc>
          <w:tcPr>
            <w:tcW w:type="dxa" w:w="216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Cohort</w:t>
            </w:r>
          </w:p>
        </w:tc>
      </w:tr>
      <w:tr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DCA threshold range (3-year)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0.01–0.30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Decision curve analysis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TCGA M12</w:t>
            </w:r>
          </w:p>
        </w:tc>
      </w:tr>
      <w:tr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AUC (1-year)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0.675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Time-dependent ROC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TCGA M12</w:t>
            </w:r>
          </w:p>
        </w:tc>
      </w:tr>
      <w:tr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AUC (3-year)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0.685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Time-dependent ROC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TCGA M12</w:t>
            </w:r>
          </w:p>
        </w:tc>
      </w:tr>
      <w:tr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AUC (5-year)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0.681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Time-dependent ROC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TCGA M12</w:t>
            </w:r>
          </w:p>
        </w:tc>
      </w:tr>
      <w:tr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Calibration slope (3-year)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1.227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Calibration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TCGA M12</w:t>
            </w:r>
          </w:p>
        </w:tc>
      </w:tr>
      <w:tr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Calibration R² (3-year)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0.843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Calibration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TCGA M12</w:t>
            </w:r>
          </w:p>
        </w:tc>
      </w:tr>
      <w:tr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Calibration slope (5-year)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1.276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Calibration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TCGA M12</w:t>
            </w:r>
          </w:p>
        </w:tc>
      </w:tr>
      <w:tr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Calibration R² (5-year)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0.925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Calibration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TCGA M12</w:t>
            </w:r>
          </w:p>
        </w:tc>
      </w:tr>
      <w:tr>
        <w:tc>
          <w:tcPr>
            <w:tcW w:type="dxa" w:w="216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C-index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0.664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Concordance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sz w:val="20"/>
              </w:rPr>
              <w:t>TCGA M12</w:t>
            </w:r>
          </w:p>
        </w:tc>
      </w:tr>
    </w:tbl>
    <w:p>
      <w:pPr>
        <w:spacing w:before="0" w:after="60" w:line="240" w:lineRule="auto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