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7F1BC">
      <w:pPr>
        <w:spacing w:after="200"/>
        <w:jc w:val="center"/>
      </w:pPr>
      <w:r>
        <w:rPr>
          <w:rFonts w:ascii="Times New Roman" w:hAnsi="Times New Roman"/>
          <w:b/>
          <w:sz w:val="30"/>
        </w:rPr>
        <w:t>From genetic liability to epigenetic risk: a multi-omics framework for prognostic stratification in lung squamous cell carcinoma</w:t>
      </w:r>
    </w:p>
    <w:p w14:paraId="296ED3F7"/>
    <w:p w14:paraId="71EAFE1A">
      <w:pPr>
        <w:spacing w:before="200" w:after="80"/>
        <w:jc w:val="left"/>
      </w:pPr>
      <w:r>
        <w:rPr>
          <w:rFonts w:ascii="Times New Roman" w:hAnsi="Times New Roman"/>
          <w:b/>
          <w:sz w:val="26"/>
        </w:rPr>
        <w:t>Abstract</w:t>
      </w:r>
    </w:p>
    <w:p w14:paraId="0742DC7B">
      <w:pPr>
        <w:spacing w:after="80" w:line="276" w:lineRule="auto"/>
        <w:jc w:val="both"/>
      </w:pPr>
      <w:r>
        <w:rPr>
          <w:rFonts w:ascii="Times New Roman" w:hAnsi="Times New Roman"/>
          <w:b/>
          <w:sz w:val="24"/>
        </w:rPr>
        <w:t>Background:</w:t>
      </w:r>
      <w:r>
        <w:rPr>
          <w:rFonts w:ascii="Times New Roman" w:hAnsi="Times New Roman"/>
          <w:sz w:val="24"/>
        </w:rPr>
        <w:t xml:space="preserve"> Metabolic and inflammatory liabilities have been implicated in lung cancer risk, yet the molecular mechanisms linking upstream exposures to tumor behavior and clinical outcomes remain unclear. Integrative frameworks bridging causal inference and translational biomarkers are needed.</w:t>
      </w:r>
    </w:p>
    <w:p w14:paraId="1AAEDE0F">
      <w:pPr>
        <w:spacing w:after="80" w:line="276" w:lineRule="auto"/>
        <w:jc w:val="both"/>
      </w:pPr>
      <w:r>
        <w:rPr>
          <w:rFonts w:ascii="Times New Roman" w:hAnsi="Times New Roman"/>
          <w:b/>
          <w:sz w:val="24"/>
        </w:rPr>
        <w:t>Methods:</w:t>
      </w:r>
      <w:r>
        <w:rPr>
          <w:rFonts w:ascii="Times New Roman" w:hAnsi="Times New Roman"/>
          <w:sz w:val="24"/>
        </w:rPr>
        <w:t xml:space="preserve"> We developed a causal-to-translational multi-omics framework integrating Mendelian randomization (MR), methylation quantitative trait loci (mQTL), Bayesian colocalization, and multi-layer omics validation. Genetically informed CpG sites were prioritized and incorporated into a methylation-based prognostic model using penalized Cox regression. Internal validation was performed in TCGA-LUSC, with external validation in GSE39279 and GSE30219.</w:t>
      </w:r>
    </w:p>
    <w:p w14:paraId="78A31086">
      <w:pPr>
        <w:spacing w:after="80" w:line="276" w:lineRule="auto"/>
        <w:jc w:val="both"/>
      </w:pPr>
      <w:r>
        <w:rPr>
          <w:rFonts w:ascii="Times New Roman" w:hAnsi="Times New Roman"/>
          <w:b/>
          <w:sz w:val="24"/>
        </w:rPr>
        <w:t>Results:</w:t>
      </w:r>
      <w:r>
        <w:rPr>
          <w:rFonts w:ascii="Times New Roman" w:hAnsi="Times New Roman"/>
          <w:sz w:val="24"/>
        </w:rPr>
        <w:t xml:space="preserve"> MR analyses revealed a subtype-specific metabolic–inflammatory liability architecture, with stronger effects observed in lung squamous cell carcinoma (LUSC) than lung adenocarcinoma. Two-step MR suggested C-reactive protein (CRP) as a potential mediator linking metabolic traits to LUSC risk. Epigenetic triangulation prioritized MFAP2-associated CpG sites supported by concordant mQTL, MR, and colocalization evidence. Multi-omics analyses converged on a coherent tumor program characterized by platelet activation, coagulation, and extracellular matrix remodeling. A 12-CpG methylation signature (M12) demonstrated stable prognostic performance in the TCGA cohort (C-index = 0.664; 3-year AUC = 0.685), with good calibration (slope = 1.23; R² = 0.84). External validation confirmed significant survival stratification across independent cohorts.</w:t>
      </w:r>
    </w:p>
    <w:p w14:paraId="23404155">
      <w:pPr>
        <w:spacing w:after="80" w:line="276" w:lineRule="auto"/>
        <w:jc w:val="both"/>
      </w:pPr>
      <w:r>
        <w:rPr>
          <w:rFonts w:ascii="Times New Roman" w:hAnsi="Times New Roman"/>
          <w:b/>
          <w:sz w:val="24"/>
        </w:rPr>
        <w:t>Conclusions:</w:t>
      </w:r>
      <w:r>
        <w:rPr>
          <w:rFonts w:ascii="Times New Roman" w:hAnsi="Times New Roman"/>
          <w:sz w:val="24"/>
        </w:rPr>
        <w:t xml:space="preserve"> This study establishes a causal-to-translational framework linking genetic liability to biologically grounded epigenetic markers. The M12 CpG-based signature enables clinically relevant risk stratification in LUSC and provides a scalable strategy for mechanistically informed biomarker development.</w:t>
      </w:r>
    </w:p>
    <w:p w14:paraId="766A4092">
      <w:pPr>
        <w:spacing w:after="80" w:line="276" w:lineRule="auto"/>
        <w:jc w:val="both"/>
      </w:pPr>
      <w:r>
        <w:rPr>
          <w:rFonts w:ascii="Times New Roman" w:hAnsi="Times New Roman"/>
          <w:b/>
          <w:sz w:val="24"/>
        </w:rPr>
        <w:t>Keywords:</w:t>
      </w:r>
      <w:r>
        <w:rPr>
          <w:rFonts w:ascii="Times New Roman" w:hAnsi="Times New Roman"/>
          <w:sz w:val="24"/>
        </w:rPr>
        <w:t xml:space="preserve"> Mendelian randomization; multi-omics integration; DNA methylation; epigenetics; MFAP2; lung squamous cell carcinoma; risk stratification; prognostic model</w:t>
      </w:r>
    </w:p>
    <w:p w14:paraId="2C6DCD53">
      <w:pPr>
        <w:spacing w:before="200" w:after="80"/>
        <w:jc w:val="left"/>
      </w:pPr>
      <w:r>
        <w:rPr>
          <w:rFonts w:ascii="Times New Roman" w:hAnsi="Times New Roman"/>
          <w:b/>
          <w:sz w:val="26"/>
        </w:rPr>
        <w:t>1. Introduction</w:t>
      </w:r>
    </w:p>
    <w:p w14:paraId="1A8FF397">
      <w:pPr>
        <w:spacing w:after="80" w:line="276" w:lineRule="auto"/>
        <w:ind w:firstLine="360"/>
        <w:jc w:val="both"/>
      </w:pPr>
      <w:r>
        <w:rPr>
          <w:rFonts w:ascii="Times New Roman" w:hAnsi="Times New Roman"/>
          <w:sz w:val="24"/>
        </w:rPr>
        <w:t>Lung cancer remains a leading cause of cancer-related mortality worldwide [24], and recurrence after curative-intent resection is a major determinant of outcome in non-small cell lung cancer, including LUSC [1,4]. Current clinicopathological risk stratification, including TNM staging, does not fully capture inter-individual variability in recurrence risk [41]. Despite advances in treatment, the identification of patients at high risk of relapse remains limited, underscoring the need for biomarkers that more directly reflect tumor biology and therapeutic vulnerability [3].</w:t>
      </w:r>
    </w:p>
    <w:p w14:paraId="00A63B0D">
      <w:pPr>
        <w:spacing w:after="80" w:line="276" w:lineRule="auto"/>
        <w:ind w:firstLine="360"/>
        <w:jc w:val="both"/>
      </w:pPr>
      <w:r>
        <w:rPr>
          <w:rFonts w:ascii="Times New Roman" w:hAnsi="Times New Roman"/>
          <w:sz w:val="24"/>
        </w:rPr>
        <w:t>Accumulating evidence suggests that systemic metabolic and inflammatory liabilities contribute to lung cancer development and progression [5-8,48,49]. However, such associations are often difficult to interpret because of residual confounding, reverse causation, and population heterogeneity. Mendelian randomization (MR) has emerged as a rigorous framework for strengthening causal inference by leveraging genetic variants as instrumental variables [9,25,44]. Nevertheless, etiological signals derived from MR alone are insufficient for clinical translation because they do not directly resolve tumor-level molecular mechanisms or prognostic biomarkers.</w:t>
      </w:r>
    </w:p>
    <w:p w14:paraId="40CD019E">
      <w:pPr>
        <w:spacing w:after="80" w:line="276" w:lineRule="auto"/>
        <w:ind w:firstLine="360"/>
        <w:jc w:val="both"/>
      </w:pPr>
      <w:r>
        <w:rPr>
          <w:rFonts w:ascii="Times New Roman" w:hAnsi="Times New Roman"/>
          <w:sz w:val="24"/>
        </w:rPr>
        <w:t>A key missing component is a molecular “translation layer” linking upstream liabilities to stable and clinically measurable tumor features. DNA methylation is well suited to this role because of its biological relevance, relative stability, and partial genetic regulation through methylation quantitative trait loci (mQTL) [10,12-17,46,52]. Integrating MR with mQTL mapping and Bayesian colocalization therefore provides an opportunity to prioritize epigenetic signals that are both genetically anchored and functionally plausible, thereby improving the specificity of candidate biomarker discovery [16,17,29].</w:t>
      </w:r>
    </w:p>
    <w:p w14:paraId="7884BFAD">
      <w:pPr>
        <w:spacing w:after="80" w:line="276" w:lineRule="auto"/>
        <w:ind w:firstLine="360"/>
        <w:jc w:val="both"/>
      </w:pPr>
      <w:r>
        <w:rPr>
          <w:rFonts w:ascii="Times New Roman" w:hAnsi="Times New Roman"/>
          <w:sz w:val="24"/>
        </w:rPr>
        <w:t>In this study, we propose a causal-to-translational multi-omics framework that integrates Mendelian randomization, mQTL mapping, Bayesian colocalization, and multi-layer omics validation to identify biologically grounded epigenetic signals. We further translate these genetically informed CpG sites into a parsimonious and externally validated methylation-based prognostic model (M12) for risk stratification in lung squamous cell carcinoma. By bridging causal inference with tumor-level molecular features and clinical outcomes, this approach aims to establish a mechanistically informed pathway from genetic liability to prognostic biomarkers in precision oncology.</w:t>
      </w:r>
    </w:p>
    <w:p w14:paraId="13816606">
      <w:pPr>
        <w:spacing w:before="200" w:after="80"/>
        <w:jc w:val="left"/>
      </w:pPr>
      <w:r>
        <w:rPr>
          <w:rFonts w:ascii="Times New Roman" w:hAnsi="Times New Roman"/>
          <w:b/>
          <w:sz w:val="26"/>
        </w:rPr>
        <w:t>2. Methods</w:t>
      </w:r>
    </w:p>
    <w:p w14:paraId="41991EA9">
      <w:pPr>
        <w:spacing w:before="200" w:after="80"/>
        <w:jc w:val="left"/>
      </w:pPr>
      <w:r>
        <w:rPr>
          <w:rFonts w:ascii="Times New Roman" w:hAnsi="Times New Roman"/>
          <w:b/>
          <w:sz w:val="24"/>
        </w:rPr>
        <w:t>2.1 Study design and analytical framework</w:t>
      </w:r>
    </w:p>
    <w:p w14:paraId="310FF4DE">
      <w:pPr>
        <w:spacing w:after="80" w:line="276" w:lineRule="auto"/>
        <w:ind w:firstLine="360"/>
        <w:jc w:val="both"/>
      </w:pPr>
      <w:r>
        <w:rPr>
          <w:rFonts w:ascii="Times New Roman" w:hAnsi="Times New Roman"/>
          <w:sz w:val="24"/>
        </w:rPr>
        <w:t>We established a causal-to-translational multi-omics analytical framework to identify biologically informed epigenetic biomarkers and to assess their clinical relevance in lung squamous cell carcinoma (LUSC). The workflow integrated Mendelian randomization (MR), methylation quantitative trait locus (mQTL) mapping, Bayesian colocalization, and multi-layer omics validation, thereby enabling stepwise prioritization from upstream genetic liability to downstream prognostic application [9,11,16,17,29]. A schematic overview of the study design is provided in Figure 1.</w:t>
      </w:r>
    </w:p>
    <w:p w14:paraId="72A31638">
      <w:pPr>
        <w:spacing w:before="200" w:after="80"/>
        <w:jc w:val="left"/>
      </w:pPr>
      <w:r>
        <w:rPr>
          <w:rFonts w:ascii="Times New Roman" w:hAnsi="Times New Roman"/>
          <w:b/>
          <w:sz w:val="24"/>
        </w:rPr>
        <w:t>2.2 Genetic liability analysis using Mendelian randomization</w:t>
      </w:r>
    </w:p>
    <w:p w14:paraId="3AE7778D">
      <w:pPr>
        <w:spacing w:after="80" w:line="276" w:lineRule="auto"/>
        <w:ind w:firstLine="360"/>
        <w:jc w:val="both"/>
      </w:pPr>
      <w:r>
        <w:rPr>
          <w:rFonts w:ascii="Times New Roman" w:hAnsi="Times New Roman"/>
          <w:sz w:val="24"/>
        </w:rPr>
        <w:t>Two-sample MR analyses were conducted to estimate the putative causal effects of metabolic, inflammatory, and lifestyle-related exposures on lung cancer outcomes. Instrumental variables were selected at genome-wide significance (P &lt; 5 × 10⁻⁸) and pruned for linkage disequilibrium (r² &lt; 0.001) to ensure independence among retained variants, in accordance with contemporary MR practice recommendations [11]. Summary statistics were derived from large-scale public GWAS resources and consortia, including studies of body mass index, smoking and alcohol use, inflammatory traits, circulating lipids, and lung cancer susceptibility [18-23,26].</w:t>
      </w:r>
    </w:p>
    <w:p w14:paraId="27BB8123">
      <w:pPr>
        <w:spacing w:after="80" w:line="276" w:lineRule="auto"/>
        <w:ind w:firstLine="360"/>
        <w:jc w:val="both"/>
      </w:pPr>
      <w:r>
        <w:rPr>
          <w:rFonts w:ascii="Times New Roman" w:hAnsi="Times New Roman"/>
          <w:sz w:val="24"/>
        </w:rPr>
        <w:t>The primary causal estimate was derived using the inverse-variance weighted (IVW) approach:</w:t>
      </w:r>
    </w:p>
    <w:p w14:paraId="4DB0A3F4">
      <w:pPr>
        <w:spacing w:before="40" w:after="120" w:line="240" w:lineRule="auto"/>
        <w:jc w:val="center"/>
      </w:pPr>
      <w:r>
        <w:rPr>
          <w:rFonts w:ascii="Times New Roman" w:hAnsi="Times New Roman"/>
          <w:i/>
          <w:sz w:val="22"/>
        </w:rPr>
        <w:t>β̂_IVW = ∑ [ w_i · (β_Y,i / β_X,i) ] / ∑ w_i</w:t>
      </w:r>
    </w:p>
    <w:p w14:paraId="44B25667">
      <w:pPr>
        <w:spacing w:after="80" w:line="276" w:lineRule="auto"/>
        <w:ind w:firstLine="360"/>
        <w:jc w:val="both"/>
      </w:pPr>
      <w:r>
        <w:rPr>
          <w:rFonts w:ascii="Times New Roman" w:hAnsi="Times New Roman"/>
          <w:sz w:val="24"/>
        </w:rPr>
        <w:t>where w_i denotes the inverse variance of the SNP-outcome association, defined as 1 / (SE_Y,i)².</w:t>
      </w:r>
    </w:p>
    <w:p w14:paraId="36FA894A">
      <w:pPr>
        <w:spacing w:after="80" w:line="276" w:lineRule="auto"/>
        <w:ind w:firstLine="360"/>
        <w:jc w:val="both"/>
      </w:pPr>
      <w:r>
        <w:rPr>
          <w:rFonts w:ascii="Times New Roman" w:hAnsi="Times New Roman"/>
          <w:sz w:val="24"/>
        </w:rPr>
        <w:t>To evaluate the robustness of the IVW estimates and to assess potential horizontal pleiotropy, complementary sensitivity analyses were performed using MR-Egger regression, the weighted median estimator, and MR-PRESSO [27,43]. The MR-Egger model was specified as:</w:t>
      </w:r>
    </w:p>
    <w:p w14:paraId="4BB1EBA7">
      <w:pPr>
        <w:spacing w:before="40" w:after="120" w:line="240" w:lineRule="auto"/>
        <w:jc w:val="center"/>
      </w:pPr>
      <w:r>
        <w:rPr>
          <w:rFonts w:ascii="Times New Roman" w:hAnsi="Times New Roman"/>
          <w:i/>
          <w:sz w:val="22"/>
        </w:rPr>
        <w:t>β_Y,i = α + β_MR · β_X,i + ε_i</w:t>
      </w:r>
    </w:p>
    <w:p w14:paraId="34656BA5">
      <w:pPr>
        <w:spacing w:before="200" w:after="80"/>
        <w:jc w:val="left"/>
      </w:pPr>
      <w:r>
        <w:rPr>
          <w:rFonts w:ascii="Times New Roman" w:hAnsi="Times New Roman"/>
          <w:b/>
          <w:sz w:val="24"/>
        </w:rPr>
        <w:t>2.3 Multivariable and mediation MR</w:t>
      </w:r>
    </w:p>
    <w:p w14:paraId="7E6AD367">
      <w:pPr>
        <w:spacing w:after="80" w:line="276" w:lineRule="auto"/>
        <w:ind w:firstLine="360"/>
        <w:jc w:val="both"/>
      </w:pPr>
      <w:r>
        <w:rPr>
          <w:rFonts w:ascii="Times New Roman" w:hAnsi="Times New Roman"/>
          <w:sz w:val="24"/>
        </w:rPr>
        <w:t>Multivariable MR (MVMR) was performed to estimate the independent effects of correlated exposures within a joint modeling framework [47]. To further explore biologically plausible intermediate pathways, two-step MR analyses were undertaken by separately modeling exposure-mediator and mediator-outcome associations, with particular emphasis on the potential mediating role of inflammatory markers in metabolic risk transmission [16,50]. Indirect effects were interpreted according to the product-of-coefficients framework.</w:t>
      </w:r>
    </w:p>
    <w:p w14:paraId="1C3CFAD1">
      <w:pPr>
        <w:spacing w:before="200" w:after="80"/>
        <w:jc w:val="left"/>
      </w:pPr>
      <w:r>
        <w:rPr>
          <w:rFonts w:ascii="Times New Roman" w:hAnsi="Times New Roman"/>
          <w:b/>
          <w:sz w:val="24"/>
        </w:rPr>
        <w:t>2.4 Epigenetic triangulation framework</w:t>
      </w:r>
    </w:p>
    <w:p w14:paraId="5A7009A9">
      <w:pPr>
        <w:spacing w:after="80" w:line="276" w:lineRule="auto"/>
        <w:ind w:firstLine="360"/>
        <w:jc w:val="both"/>
      </w:pPr>
      <w:r>
        <w:rPr>
          <w:rFonts w:ascii="Times New Roman" w:hAnsi="Times New Roman"/>
          <w:sz w:val="24"/>
        </w:rPr>
        <w:t>To prioritize CpG sites that potentially translate inherited liability into tumor-level molecular regulation, we implemented an epigenetic triangulation framework integrating mQTL mapping, MR directionality, and Bayesian colocalization analysis [15-17,29,45,46]. mQTL datasets were first used to identify genetically regulated CpG loci. Colocalization analysis was then applied to evaluate whether the exposure-associated and methylation-associated signals were likely attributable to a shared causal variant; posterior probability for hypothesis 4 (PP.H4) &gt; 0.30 was considered suggestive evidence of colocalization. CpG sites were retained only when the inferred directions of effect were concordant across the MR and mQTL layers.</w:t>
      </w:r>
    </w:p>
    <w:p w14:paraId="4734CDD2">
      <w:pPr>
        <w:spacing w:before="200" w:after="80"/>
        <w:jc w:val="left"/>
      </w:pPr>
      <w:r>
        <w:rPr>
          <w:rFonts w:ascii="Times New Roman" w:hAnsi="Times New Roman"/>
          <w:b/>
          <w:sz w:val="24"/>
        </w:rPr>
        <w:t>2.5 Multi-omics integration and functional annotation</w:t>
      </w:r>
    </w:p>
    <w:p w14:paraId="18EEBD02">
      <w:pPr>
        <w:spacing w:after="80" w:line="276" w:lineRule="auto"/>
        <w:ind w:firstLine="360"/>
        <w:jc w:val="both"/>
      </w:pPr>
      <w:r>
        <w:rPr>
          <w:rFonts w:ascii="Times New Roman" w:hAnsi="Times New Roman"/>
          <w:sz w:val="24"/>
        </w:rPr>
        <w:t>Prioritized CpG sites and their annotated genes were subsequently evaluated across transcriptomic, proteomic, and immune-related datasets to strengthen biological interpretation and translational relevance. Transcriptomic processing and differential analyses were aligned with established RNA-seq and microarray workflows [28,30,31,34], with missing data handled according to standard imputation principles where required [33]. Functional enrichment analyses were performed to identify pathways associated with the candidate genes, with particular emphasis on coagulation, platelet activation, extracellular matrix organization, and immune-related processes implicated in tumor microenvironment remodeling, using established pathway resources and analytic frameworks [35-38,42].</w:t>
      </w:r>
    </w:p>
    <w:p w14:paraId="6B883659">
      <w:pPr>
        <w:spacing w:before="200" w:after="80"/>
        <w:jc w:val="left"/>
      </w:pPr>
      <w:r>
        <w:rPr>
          <w:rFonts w:ascii="Times New Roman" w:hAnsi="Times New Roman"/>
          <w:b/>
          <w:sz w:val="24"/>
        </w:rPr>
        <w:t>2.6 Prognostic model construction (M12 Signature)</w:t>
      </w:r>
    </w:p>
    <w:p w14:paraId="2A9CCE4D">
      <w:pPr>
        <w:spacing w:after="80" w:line="276" w:lineRule="auto"/>
        <w:ind w:firstLine="360"/>
        <w:jc w:val="both"/>
      </w:pPr>
      <w:r>
        <w:rPr>
          <w:rFonts w:ascii="Times New Roman" w:hAnsi="Times New Roman"/>
          <w:sz w:val="24"/>
        </w:rPr>
        <w:t>DNA methylation profiles and corresponding clinical follow-up data were obtained from the TCGA-LUSC cohort for prognostic model development [2]. Feature selection was performed using a penalized Cox proportional hazards model with LASSO regularization and 10-fold cross-validation, following established machine-learning and regularization principles for biomedical prediction modeling [32,39]. Candidate signatures were subsequently compared using a composite selection score, and the final 12-CpG signature (M12_Top12) was selected on the basis of overall parsimony-performance balance. The Cox proportional hazards model was defined as:</w:t>
      </w:r>
    </w:p>
    <w:p w14:paraId="6CE201EC">
      <w:pPr>
        <w:spacing w:before="40" w:after="120" w:line="240" w:lineRule="auto"/>
        <w:jc w:val="center"/>
      </w:pPr>
      <w:r>
        <w:rPr>
          <w:rFonts w:ascii="Times New Roman" w:hAnsi="Times New Roman"/>
          <w:i/>
          <w:sz w:val="22"/>
        </w:rPr>
        <w:t>h(t|X) = h_0(t) exp(β_1X_1 + ... + β_pX_p)</w:t>
      </w:r>
    </w:p>
    <w:p w14:paraId="6DBD2726">
      <w:pPr>
        <w:spacing w:after="80" w:line="276" w:lineRule="auto"/>
        <w:ind w:firstLine="360"/>
        <w:jc w:val="both"/>
      </w:pPr>
      <w:r>
        <w:rPr>
          <w:rFonts w:ascii="Times New Roman" w:hAnsi="Times New Roman"/>
          <w:sz w:val="24"/>
        </w:rPr>
        <w:t>For each patient, the prognostic risk score was calculated from the multivariable Cox model using z-scored CpG features, where Z(CpG) represents the standardized methylation value of a given CpG site. The general form of the risk score was:</w:t>
      </w:r>
    </w:p>
    <w:p w14:paraId="1739AA86">
      <w:pPr>
        <w:spacing w:before="40" w:after="120" w:line="240" w:lineRule="auto"/>
        <w:jc w:val="center"/>
      </w:pPr>
      <w:r>
        <w:rPr>
          <w:rFonts w:ascii="Times New Roman" w:hAnsi="Times New Roman"/>
          <w:i/>
          <w:sz w:val="22"/>
        </w:rPr>
        <w:t>Risk Score = ∑ (β_j × Z(CpG_j))</w:t>
      </w:r>
    </w:p>
    <w:p w14:paraId="70CE924B">
      <w:pPr>
        <w:spacing w:after="80" w:line="276" w:lineRule="auto"/>
        <w:ind w:firstLine="360"/>
        <w:jc w:val="both"/>
      </w:pPr>
      <w:r>
        <w:rPr>
          <w:rFonts w:ascii="Times New Roman" w:hAnsi="Times New Roman"/>
          <w:sz w:val="24"/>
        </w:rPr>
        <w:t>The final M12 signature was specified as:</w:t>
      </w:r>
    </w:p>
    <w:p w14:paraId="226C7463">
      <w:pPr>
        <w:spacing w:before="40" w:after="120" w:line="240" w:lineRule="auto"/>
        <w:jc w:val="center"/>
      </w:pPr>
      <w:r>
        <w:rPr>
          <w:rFonts w:ascii="Times New Roman" w:hAnsi="Times New Roman"/>
          <w:i/>
          <w:sz w:val="22"/>
        </w:rPr>
        <w:t>Risk Score = (0.210 × Z[cg06238570]) + (0.140 × Z[cg07318658]) + (0.104 × Z[cg13144823]) - (0.222 × Z[cg14526939]) - (0.294 × Z[cg07151966]) + (0.041 × Z[cg12672785]) + (0.075 × Z[cg05801080]) - (0.205 × Z[cg07154958]) + (0.253 × Z[cg16098170]) + (0.260 × Z[cg09010499]) - (0.230 × Z[cg05984948]) - (0.152 × Z[cg00646216])</w:t>
      </w:r>
    </w:p>
    <w:p w14:paraId="72168620">
      <w:pPr>
        <w:spacing w:before="200" w:after="80"/>
        <w:jc w:val="left"/>
      </w:pPr>
      <w:r>
        <w:rPr>
          <w:rFonts w:ascii="Times New Roman" w:hAnsi="Times New Roman"/>
          <w:b/>
          <w:sz w:val="24"/>
        </w:rPr>
        <w:t>2.7 Model evaluation and validation</w:t>
      </w:r>
    </w:p>
    <w:p w14:paraId="1092C398">
      <w:pPr>
        <w:spacing w:after="80" w:line="276" w:lineRule="auto"/>
        <w:ind w:firstLine="360"/>
        <w:jc w:val="both"/>
      </w:pPr>
      <w:r>
        <w:rPr>
          <w:rFonts w:ascii="Times New Roman" w:hAnsi="Times New Roman"/>
          <w:sz w:val="24"/>
        </w:rPr>
        <w:t>Model performance was comprehensively evaluated using Kaplan-Meier survival analysis, nonparametric time-to-event estimation under censoring, the concordance index (C-index), time-dependent receiver operating characteristic (ROC) analysis, calibration curves, and decision curve analysis (DCA) [40]. In the TCGA-LUSC training cohort, patients were dichotomized into high- and low-risk groups according to the median training-cohort risk score. External validation was performed in two independent microarray cohorts (GSE39279 and GSE30219), in which optimal cutoffs were determined using the maxstat (maximally selected rank statistics) procedure. Given the heterogeneity in endpoint definition across validation cohorts, namely recurrence-free survival in GSE39279 and overall survival in GSE30219, external validation primarily focused on discriminative performance, whereas calibration and DCA were principally assessed in the TCGA training cohort.</w:t>
      </w:r>
    </w:p>
    <w:p w14:paraId="39537EAA">
      <w:pPr>
        <w:spacing w:before="200" w:after="80"/>
        <w:jc w:val="left"/>
      </w:pPr>
      <w:r>
        <w:rPr>
          <w:rFonts w:ascii="Times New Roman" w:hAnsi="Times New Roman"/>
          <w:b/>
          <w:sz w:val="24"/>
        </w:rPr>
        <w:t>2.8 Statistical analysis</w:t>
      </w:r>
    </w:p>
    <w:p w14:paraId="4AAF7115">
      <w:pPr>
        <w:spacing w:after="80" w:line="276" w:lineRule="auto"/>
        <w:ind w:firstLine="360"/>
        <w:jc w:val="both"/>
      </w:pPr>
      <w:r>
        <w:rPr>
          <w:rFonts w:ascii="Times New Roman" w:hAnsi="Times New Roman"/>
          <w:sz w:val="24"/>
        </w:rPr>
        <w:t>All statistical analyses were performed using R software (version 4.5.</w:t>
      </w:r>
      <w:r>
        <w:rPr>
          <w:rFonts w:hint="eastAsia" w:eastAsia="宋体"/>
          <w:sz w:val="24"/>
          <w:lang w:val="en-US" w:eastAsia="zh-CN"/>
        </w:rPr>
        <w:t>3</w:t>
      </w:r>
      <w:r>
        <w:rPr>
          <w:rFonts w:ascii="Times New Roman" w:hAnsi="Times New Roman"/>
          <w:sz w:val="24"/>
        </w:rPr>
        <w:t>). Unless otherwise specified, all statistical tests were two-sided, and P-values &lt; 0.05 were considered statistically significant. Where appropriate, results were interpreted in conjunction with multiple-testing considerations and consistency across analytical layers.</w:t>
      </w:r>
    </w:p>
    <w:p w14:paraId="0BE46C59">
      <w:pPr>
        <w:spacing w:before="200" w:after="80"/>
        <w:jc w:val="left"/>
      </w:pPr>
      <w:r>
        <w:rPr>
          <w:rFonts w:ascii="Times New Roman" w:hAnsi="Times New Roman"/>
          <w:b/>
          <w:sz w:val="26"/>
        </w:rPr>
        <w:t>3. Results</w:t>
      </w:r>
    </w:p>
    <w:p w14:paraId="608E05C2">
      <w:pPr>
        <w:spacing w:before="200" w:after="80"/>
        <w:jc w:val="left"/>
      </w:pPr>
      <w:r>
        <w:rPr>
          <w:rFonts w:ascii="Times New Roman" w:hAnsi="Times New Roman"/>
          <w:b/>
          <w:sz w:val="24"/>
        </w:rPr>
        <w:t>3.1 Genetic liability reveals subtype-specific risk architecture</w:t>
      </w:r>
    </w:p>
    <w:p w14:paraId="13369854">
      <w:pPr>
        <w:spacing w:after="80" w:line="276" w:lineRule="auto"/>
        <w:ind w:firstLine="360"/>
        <w:jc w:val="both"/>
      </w:pPr>
      <w:r>
        <w:rPr>
          <w:rFonts w:ascii="Times New Roman" w:hAnsi="Times New Roman"/>
          <w:sz w:val="24"/>
        </w:rPr>
        <w:t>We first assessed the causal effects of metabolic, inflammatory, and lifestyle exposures on lung cancer outcomes using Mendelian randomization. Smoking initiation exhibited the strongest and most consistent associations across outcomes, with larger effect sizes observed in lung squamous cell carcinoma (LUSC) compared with lung adenocarcinoma (LUAD). Body mass index (BMI) showed significant associations with LUSC but not LUAD, suggesting subtype-specific susceptibility patterns (Figure 2).</w:t>
      </w:r>
    </w:p>
    <w:p w14:paraId="33835994">
      <w:pPr>
        <w:spacing w:after="80" w:line="276" w:lineRule="auto"/>
        <w:ind w:firstLine="360"/>
        <w:jc w:val="both"/>
      </w:pPr>
      <w:r>
        <w:rPr>
          <w:rFonts w:ascii="Times New Roman" w:hAnsi="Times New Roman"/>
          <w:sz w:val="24"/>
        </w:rPr>
        <w:t>Detailed effect estimates, including odds ratios and confidence intervals, are provided in Table 2.</w:t>
      </w:r>
    </w:p>
    <w:p w14:paraId="7B07937B">
      <w:pPr>
        <w:spacing w:after="80" w:line="276" w:lineRule="auto"/>
        <w:ind w:firstLine="360"/>
        <w:jc w:val="both"/>
      </w:pPr>
      <w:r>
        <w:rPr>
          <w:rFonts w:ascii="Times New Roman" w:hAnsi="Times New Roman"/>
          <w:sz w:val="24"/>
        </w:rPr>
        <w:t>Multivariable MR analyses attenuated these associations, consistent with shared genetic architecture among cardiometabolic traits. Collectively, these findings support a networked metabolic–inflammatory liability framework rather than a single dominant causal factor.</w:t>
      </w:r>
    </w:p>
    <w:p w14:paraId="6C455BEE">
      <w:pPr>
        <w:spacing w:before="200" w:after="80"/>
        <w:jc w:val="left"/>
      </w:pPr>
      <w:r>
        <w:rPr>
          <w:rFonts w:ascii="Times New Roman" w:hAnsi="Times New Roman"/>
          <w:b/>
          <w:sz w:val="24"/>
        </w:rPr>
        <w:t>3.2 Inflammatory pathways may mediate metabolic risk in LUSC</w:t>
      </w:r>
    </w:p>
    <w:p w14:paraId="633452A3">
      <w:pPr>
        <w:spacing w:after="80" w:line="276" w:lineRule="auto"/>
        <w:ind w:firstLine="360"/>
        <w:jc w:val="both"/>
      </w:pPr>
      <w:r>
        <w:rPr>
          <w:rFonts w:ascii="Times New Roman" w:hAnsi="Times New Roman"/>
          <w:sz w:val="24"/>
        </w:rPr>
        <w:t>To explore potential mechanisms linking metabolic traits to LUSC, we performed two-step Mendelian randomization analyses. In particular, C-reactive protein (CRP) emerged as a potential mediator, with the BMI→CRP→LUSC pathway showing consistent exposure–mediator and mediator–outcome effects.</w:t>
      </w:r>
    </w:p>
    <w:p w14:paraId="25B7B470">
      <w:pPr>
        <w:spacing w:after="80" w:line="276" w:lineRule="auto"/>
        <w:ind w:firstLine="360"/>
        <w:jc w:val="both"/>
      </w:pPr>
      <w:r>
        <w:rPr>
          <w:rFonts w:ascii="Times New Roman" w:hAnsi="Times New Roman"/>
          <w:sz w:val="24"/>
        </w:rPr>
        <w:t>Although these associations did not survive multiple testing correction, the recurrent involvement of CRP across multiple pathways suggests a biologically plausible inflammatory axis underlying LUSC risk. Full mediation results are presented in Supplementary Tables S2–S3.</w:t>
      </w:r>
    </w:p>
    <w:p w14:paraId="181B317C">
      <w:pPr>
        <w:spacing w:before="200" w:after="80"/>
        <w:jc w:val="left"/>
      </w:pPr>
      <w:r>
        <w:rPr>
          <w:rFonts w:ascii="Times New Roman" w:hAnsi="Times New Roman"/>
          <w:b/>
          <w:sz w:val="24"/>
        </w:rPr>
        <w:t>3.3 Epigenetic triangulation prioritizes MFAP2-associated CpG sites</w:t>
      </w:r>
    </w:p>
    <w:p w14:paraId="772CA3E7">
      <w:pPr>
        <w:spacing w:after="80" w:line="276" w:lineRule="auto"/>
        <w:ind w:firstLine="360"/>
        <w:jc w:val="both"/>
      </w:pPr>
      <w:r>
        <w:rPr>
          <w:rFonts w:ascii="Times New Roman" w:hAnsi="Times New Roman"/>
          <w:sz w:val="24"/>
        </w:rPr>
        <w:t>To bridge genetic liability to tumor-level regulation, we implemented an epigenetic triangulation framework integrating mQTL mapping, Mendelian randomization, and colocalization analysis (see Methods). This approach enabled the identification of CpG-specific regulatory signals.</w:t>
      </w:r>
    </w:p>
    <w:p w14:paraId="1CB9CF0E">
      <w:pPr>
        <w:spacing w:after="80" w:line="276" w:lineRule="auto"/>
        <w:ind w:firstLine="360"/>
        <w:jc w:val="both"/>
      </w:pPr>
      <w:r>
        <w:rPr>
          <w:rFonts w:ascii="Times New Roman" w:hAnsi="Times New Roman"/>
          <w:sz w:val="24"/>
        </w:rPr>
        <w:t>At the MFAP2 locus, one CpG site demonstrated concordant evidence across all layers, whereas adjacent probes did not, indicating probe-specific functional relevance. Colocalization analysis further supported a shared genetic signal at this locus.</w:t>
      </w:r>
    </w:p>
    <w:p w14:paraId="55B1E974">
      <w:pPr>
        <w:spacing w:after="80" w:line="276" w:lineRule="auto"/>
        <w:ind w:firstLine="360"/>
        <w:jc w:val="both"/>
      </w:pPr>
      <w:r>
        <w:rPr>
          <w:rFonts w:ascii="Times New Roman" w:hAnsi="Times New Roman"/>
          <w:sz w:val="24"/>
        </w:rPr>
        <w:t>These findings prioritized MFAP2 as a key candidate linking upstream liabilities to epigenetic regulation (Figure 3; Table 3).</w:t>
      </w:r>
    </w:p>
    <w:p w14:paraId="599B79E2">
      <w:pPr>
        <w:spacing w:before="200" w:after="80"/>
        <w:jc w:val="left"/>
      </w:pPr>
      <w:r>
        <w:rPr>
          <w:rFonts w:ascii="Times New Roman" w:hAnsi="Times New Roman"/>
          <w:b/>
          <w:sz w:val="24"/>
        </w:rPr>
        <w:t>3.4 Multi-omics integration reveals a coagulation–ECM tumor program</w:t>
      </w:r>
    </w:p>
    <w:p w14:paraId="154461FF">
      <w:pPr>
        <w:spacing w:after="80" w:line="276" w:lineRule="auto"/>
        <w:ind w:firstLine="360"/>
        <w:jc w:val="both"/>
      </w:pPr>
      <w:r>
        <w:rPr>
          <w:rFonts w:ascii="Times New Roman" w:hAnsi="Times New Roman"/>
          <w:sz w:val="24"/>
        </w:rPr>
        <w:t>To further characterize the biological relevance of prioritized loci, we performed multi-omics integration across transcriptomic, proteomic, and immune-related datasets. These analyses converged on a coherent tumor program characterized by platelet activation, coagulation processes, and extracellular matrix remodeling (Figures 4–5).</w:t>
      </w:r>
    </w:p>
    <w:p w14:paraId="4FFC6342">
      <w:pPr>
        <w:spacing w:after="80" w:line="276" w:lineRule="auto"/>
        <w:ind w:firstLine="360"/>
        <w:jc w:val="both"/>
      </w:pPr>
      <w:r>
        <w:rPr>
          <w:rFonts w:ascii="Times New Roman" w:hAnsi="Times New Roman"/>
          <w:sz w:val="24"/>
        </w:rPr>
        <w:t>Notably, transcriptomic and proteomic analyses showed partial discordance at the gene expression level but consistent activation at the pathway level, suggesting post-transcriptional regulation. Functional enrichment further supported a platelet–ECM axis and microtubule-related transport processes.</w:t>
      </w:r>
    </w:p>
    <w:p w14:paraId="1C44A125">
      <w:pPr>
        <w:spacing w:after="80" w:line="276" w:lineRule="auto"/>
        <w:ind w:firstLine="360"/>
        <w:jc w:val="both"/>
      </w:pPr>
      <w:r>
        <w:rPr>
          <w:rFonts w:ascii="Times New Roman" w:hAnsi="Times New Roman"/>
          <w:sz w:val="24"/>
        </w:rPr>
        <w:t>Together, these results provide a mechanistic bridge linking systemic metabolic–inflammatory liabilities to tumor microenvironment remodeling.</w:t>
      </w:r>
    </w:p>
    <w:p w14:paraId="3136E2DC">
      <w:pPr>
        <w:spacing w:before="200" w:after="80"/>
        <w:jc w:val="left"/>
      </w:pPr>
      <w:r>
        <w:rPr>
          <w:rFonts w:ascii="Times New Roman" w:hAnsi="Times New Roman"/>
          <w:b/>
          <w:sz w:val="24"/>
        </w:rPr>
        <w:t>3.5 A 12-CpG methylation signature enables clinically relevant risk stratification</w:t>
      </w:r>
    </w:p>
    <w:p w14:paraId="6889A666">
      <w:pPr>
        <w:spacing w:after="80" w:line="276" w:lineRule="auto"/>
        <w:ind w:firstLine="360"/>
        <w:jc w:val="both"/>
      </w:pPr>
      <w:r>
        <w:rPr>
          <w:rFonts w:ascii="Times New Roman" w:hAnsi="Times New Roman"/>
          <w:sz w:val="24"/>
        </w:rPr>
        <w:t>We translated the prioritized epigenetic signals into a methylation-based prognostic model using penalized LASSO-Cox regression. The final model comprised 12 CpG sites (M12) and demonstrated stable prognostic performance in the TCGA-LUSC training cohort.</w:t>
      </w:r>
    </w:p>
    <w:p w14:paraId="0F3F2EAB">
      <w:pPr>
        <w:spacing w:after="80" w:line="276" w:lineRule="auto"/>
        <w:ind w:firstLine="360"/>
        <w:jc w:val="both"/>
      </w:pPr>
      <w:r>
        <w:rPr>
          <w:rFonts w:ascii="Times New Roman" w:hAnsi="Times New Roman"/>
          <w:sz w:val="24"/>
        </w:rPr>
        <w:t>Using the median training-cohort cutoff, Kaplan–Meier analysis showed significantly worse overall survival in the high-risk group (Figure 6). Continuous risk modeling further supported the prognostic relevance of the M12 signature. Model coefficients and feature contributions are summarized in Table 4.</w:t>
      </w:r>
    </w:p>
    <w:p w14:paraId="5BDBF00B">
      <w:pPr>
        <w:spacing w:before="200" w:after="80"/>
        <w:jc w:val="left"/>
      </w:pPr>
      <w:r>
        <w:rPr>
          <w:rFonts w:ascii="Times New Roman" w:hAnsi="Times New Roman"/>
          <w:b/>
          <w:sz w:val="24"/>
        </w:rPr>
        <w:t>3.6 External validation confirms model portability across independent cohorts</w:t>
      </w:r>
    </w:p>
    <w:p w14:paraId="718E9AE2">
      <w:pPr>
        <w:spacing w:after="80" w:line="276" w:lineRule="auto"/>
        <w:ind w:firstLine="360"/>
        <w:jc w:val="both"/>
      </w:pPr>
      <w:r>
        <w:rPr>
          <w:rFonts w:ascii="Times New Roman" w:hAnsi="Times New Roman"/>
          <w:sz w:val="24"/>
        </w:rPr>
        <w:t>We next evaluated model performance in two independent cohorts, GSE39279 and GSE30219. Significant survival stratification was observed across external datasets using maxstat-derived optimal cutoffs, supporting the portability of the M12 signature across independent populations.</w:t>
      </w:r>
    </w:p>
    <w:p w14:paraId="56D5C6AE">
      <w:pPr>
        <w:spacing w:after="80" w:line="276" w:lineRule="auto"/>
        <w:ind w:firstLine="360"/>
        <w:jc w:val="both"/>
      </w:pPr>
      <w:r>
        <w:rPr>
          <w:rFonts w:ascii="Times New Roman" w:hAnsi="Times New Roman"/>
          <w:sz w:val="24"/>
        </w:rPr>
        <w:t>In the TCGA training cohort, the model achieved a C-index of 0.664 and a 3-year AUC of 0.685, with good calibration performance (slope = 1.227; R² = 0.843). Overall validation results are presented in Figure 7 and Table 5.</w:t>
      </w:r>
    </w:p>
    <w:p w14:paraId="605278F0">
      <w:pPr>
        <w:spacing w:after="80" w:line="276" w:lineRule="auto"/>
        <w:ind w:firstLine="360"/>
        <w:jc w:val="both"/>
      </w:pPr>
      <w:r>
        <w:rPr>
          <w:rFonts w:ascii="Times New Roman" w:hAnsi="Times New Roman"/>
          <w:sz w:val="24"/>
        </w:rPr>
        <w:t>Taken together, these findings indicate that the M12 signature captures clinically meaningful prognostic information and supports both group-based stratification and continuous risk assessment.</w:t>
      </w:r>
    </w:p>
    <w:p w14:paraId="31FBCB2B">
      <w:pPr>
        <w:spacing w:before="200" w:after="80"/>
        <w:jc w:val="left"/>
      </w:pPr>
      <w:r>
        <w:rPr>
          <w:rFonts w:ascii="Times New Roman" w:hAnsi="Times New Roman"/>
          <w:b/>
          <w:sz w:val="26"/>
        </w:rPr>
        <w:t>4. Discussion</w:t>
      </w:r>
    </w:p>
    <w:p w14:paraId="2C61C740">
      <w:pPr>
        <w:spacing w:after="80" w:line="276" w:lineRule="auto"/>
        <w:ind w:firstLine="360"/>
        <w:jc w:val="both"/>
      </w:pPr>
      <w:r>
        <w:rPr>
          <w:rFonts w:ascii="Times New Roman" w:hAnsi="Times New Roman"/>
          <w:sz w:val="24"/>
        </w:rPr>
        <w:t>In this study, we developed a causal-to-translational multi-omics framework that links genetic liability to clinically relevant epigenetic markers in lung squamous cell carcinoma (LUSC). By integrating Mendelian randomization, mQTL mapping, and colocalization analyses, our approach prioritizes CpG sites that are both genetically anchored and functionally supported, thereby moving beyond conventional association-based biomarker discovery. These signals were subsequently translated into a 12-CpG methylation signature (M12), which demonstrated consistent prognostic stratification in both training and independent validation cohorts, with acceptable discrimination and good calibration. Together, these findings support a unified framework in which upstream metabolic–inflammatory liabilities are connected to tumor microenvironment remodeling and ultimately to clinically actionable risk prediction.</w:t>
      </w:r>
    </w:p>
    <w:p w14:paraId="6C624D05">
      <w:pPr>
        <w:spacing w:after="80" w:line="276" w:lineRule="auto"/>
        <w:ind w:firstLine="360"/>
        <w:jc w:val="both"/>
      </w:pPr>
      <w:r>
        <w:rPr>
          <w:rFonts w:ascii="Times New Roman" w:hAnsi="Times New Roman"/>
          <w:sz w:val="24"/>
        </w:rPr>
        <w:t>A key insight from this work is that metabolic–inflammatory risk in LUSC is best conceptualized as a networked liability rather than a single-factor effect [5-8,48,49]. The recurrent involvement of CRP across multiple pathways suggests a central inflammatory axis linking systemic metabolic perturbations to tumor risk, consistent with prior evidence implicating inflammatory mediators in lung carcinogenesis [7,8]. Although these findings should be interpreted as hypothesis-generating rather than definitive mediation, they provide a coherent biological framework for understanding subtype-specific susceptibility.</w:t>
      </w:r>
    </w:p>
    <w:p w14:paraId="23C0C13F">
      <w:pPr>
        <w:spacing w:after="80" w:line="276" w:lineRule="auto"/>
        <w:ind w:firstLine="360"/>
        <w:jc w:val="both"/>
      </w:pPr>
      <w:r>
        <w:rPr>
          <w:rFonts w:ascii="Times New Roman" w:hAnsi="Times New Roman"/>
          <w:sz w:val="24"/>
        </w:rPr>
        <w:t>The epigenetic triangulation strategy represents an important refinement step by integrating genetic and molecular evidence at the CpG level. The probe-specific signal observed at the MFAP2 locus highlights the importance of fine-grained epigenetic resolution, as adjacent CpG sites within the same locus may exhibit distinct functional roles. This finding underscores the value of combining mQTL, MR, and colocalization to improve the specificity of biomarker discovery.</w:t>
      </w:r>
    </w:p>
    <w:p w14:paraId="7C4C19B7">
      <w:pPr>
        <w:spacing w:after="80" w:line="276" w:lineRule="auto"/>
        <w:ind w:firstLine="360"/>
        <w:jc w:val="both"/>
      </w:pPr>
      <w:r>
        <w:rPr>
          <w:rFonts w:ascii="Times New Roman" w:hAnsi="Times New Roman"/>
          <w:sz w:val="24"/>
        </w:rPr>
        <w:t>Multi-omics integration further demonstrated that these genetically anchored signals converge on a coherent tumor program characterized by coagulation, platelet activation, and extracellular matrix remodeling. This program provides a plausible mechanistic bridge linking systemic liabilities to tumor microenvironment dynamics and is biologically compatible with prior evidence implicating platelet-mediated interactions in metastatic progression [51].</w:t>
      </w:r>
    </w:p>
    <w:p w14:paraId="66E542D3">
      <w:pPr>
        <w:spacing w:after="80" w:line="276" w:lineRule="auto"/>
        <w:ind w:firstLine="360"/>
        <w:jc w:val="both"/>
      </w:pPr>
      <w:r>
        <w:rPr>
          <w:rFonts w:ascii="Times New Roman" w:hAnsi="Times New Roman"/>
          <w:sz w:val="24"/>
        </w:rPr>
        <w:t>From a clinical perspective, the M12 methylation signature illustrates that biologically informed multi-feature models can capture meaningful prognostic information. Although its discriminative performance was moderate, calibration was good in the training cohort and significant survival stratification was preserved across independent datasets. The stronger performance of continuous risk assessment further suggests that the signature may be most informative when interpreted as a quantitative prognostic measure, consistent with broader efforts to translate DNA methylation biomarkers into clinically usable tools [13,14,52].</w:t>
      </w:r>
    </w:p>
    <w:p w14:paraId="1CB8F33F">
      <w:pPr>
        <w:spacing w:after="80" w:line="276" w:lineRule="auto"/>
        <w:ind w:firstLine="360"/>
        <w:jc w:val="both"/>
      </w:pPr>
      <w:r>
        <w:rPr>
          <w:rFonts w:ascii="Times New Roman" w:hAnsi="Times New Roman"/>
          <w:sz w:val="24"/>
        </w:rPr>
        <w:t>Importantly, beyond the specific findings, this study provides a generalizable framework for biomarker discovery that integrates causal inference with multi-omics validation. This design enables a systematic transition from genetic association to functional prioritization and clinical translation, which may be applicable to other complex diseases.</w:t>
      </w:r>
    </w:p>
    <w:p w14:paraId="1AB69A10">
      <w:pPr>
        <w:spacing w:after="80" w:line="276" w:lineRule="auto"/>
        <w:ind w:firstLine="360"/>
        <w:jc w:val="both"/>
      </w:pPr>
      <w:r>
        <w:rPr>
          <w:rFonts w:ascii="Times New Roman" w:hAnsi="Times New Roman"/>
          <w:sz w:val="24"/>
        </w:rPr>
        <w:t>Several limitations should be acknowledged. First, MR is designed for etiological inference rather than prognostic modeling, and the transition from genetic liability to recurrence outcomes should be interpreted with caution [50]. Second, colocalization analyses may be affected by locus complexity and the presence of multiple causal variants [45]. Third, external validation was conducted in relatively modest cohorts, which may limit generalizability. Future studies should focus on prospective validation and experimental characterization of prioritized CpG sites.</w:t>
      </w:r>
    </w:p>
    <w:p w14:paraId="3074DA88">
      <w:pPr>
        <w:spacing w:after="80" w:line="276" w:lineRule="auto"/>
        <w:ind w:firstLine="360"/>
        <w:jc w:val="both"/>
      </w:pPr>
      <w:r>
        <w:rPr>
          <w:rFonts w:ascii="Times New Roman" w:hAnsi="Times New Roman"/>
          <w:sz w:val="24"/>
        </w:rPr>
        <w:t>In conclusion, our findings support a causal-to-translational paradigm for biomarker discovery, demonstrating how genetically informed epigenetic signals can be leveraged to bridge upstream risk factors and clinical outcomes in LUSC.</w:t>
      </w:r>
    </w:p>
    <w:p w14:paraId="5D04282A">
      <w:pPr>
        <w:spacing w:before="200" w:after="80"/>
        <w:jc w:val="left"/>
      </w:pPr>
      <w:r>
        <w:rPr>
          <w:rFonts w:ascii="Times New Roman" w:hAnsi="Times New Roman"/>
          <w:b/>
          <w:sz w:val="26"/>
        </w:rPr>
        <w:t>5. Conclusion</w:t>
      </w:r>
    </w:p>
    <w:p w14:paraId="1AB8723A">
      <w:pPr>
        <w:spacing w:after="80" w:line="276" w:lineRule="auto"/>
        <w:ind w:firstLine="360"/>
        <w:jc w:val="both"/>
      </w:pPr>
      <w:r>
        <w:rPr>
          <w:rFonts w:ascii="Times New Roman" w:hAnsi="Times New Roman"/>
          <w:sz w:val="24"/>
        </w:rPr>
        <w:t>This study establishes a causal-to-translational paradigm linking genetic liability to tumor biology and clinical outcomes in lung squamous cell carcinoma. Through integrative analyses, we identify MFAP2-linked epigenetic regulation as a key node connecting systemic metabolic–inflammatory risk to tumor progression. The derived M12 CpG-based signature demonstrates that biologically informed models can capture clinically relevant prognostic signals, particularly when interpreted as continuous measures. Beyond the specific findings, this work provides a generalizable framework for translating causal inference into mechanistically grounded biomarkers for precision oncology.</w:t>
      </w:r>
    </w:p>
    <w:p w14:paraId="4B3D3940">
      <w:pPr>
        <w:spacing w:before="200" w:after="80"/>
        <w:jc w:val="left"/>
      </w:pPr>
      <w:r>
        <w:rPr>
          <w:rFonts w:ascii="Times New Roman" w:hAnsi="Times New Roman"/>
          <w:b/>
          <w:sz w:val="26"/>
        </w:rPr>
        <w:t>Acknowledgements</w:t>
      </w:r>
    </w:p>
    <w:p w14:paraId="04BC1FA4">
      <w:pPr>
        <w:spacing w:after="80" w:line="276" w:lineRule="auto"/>
        <w:ind w:firstLine="360"/>
        <w:jc w:val="both"/>
      </w:pPr>
      <w:r>
        <w:rPr>
          <w:rFonts w:ascii="Times New Roman" w:hAnsi="Times New Roman"/>
          <w:sz w:val="24"/>
        </w:rPr>
        <w:t>We acknowledge the investigators and participants of the International Lung Cancer Consortium (ILCCO), The Cancer Genome Atlas (TCGA), and the Clinical Proteomic Tumor Analysis Consortium (CPTAC) for making their datasets publicly available. We also acknowledge the developers of the analytical tools used in this study, including R packages such as TwoSampleMR and coloc, as well as Python-based computational libraries used for data processing, predictive modeling, and visualization.</w:t>
      </w:r>
    </w:p>
    <w:p w14:paraId="4CC792C1">
      <w:pPr>
        <w:spacing w:before="200" w:after="80"/>
        <w:jc w:val="left"/>
      </w:pPr>
      <w:r>
        <w:rPr>
          <w:rFonts w:ascii="Times New Roman" w:hAnsi="Times New Roman"/>
          <w:b/>
          <w:sz w:val="26"/>
        </w:rPr>
        <w:t>Author contributions</w:t>
      </w:r>
    </w:p>
    <w:p w14:paraId="3866B1F9">
      <w:pPr>
        <w:spacing w:after="80" w:line="276" w:lineRule="auto"/>
        <w:ind w:firstLine="360"/>
        <w:jc w:val="both"/>
      </w:pPr>
      <w:r>
        <w:rPr>
          <w:rFonts w:ascii="Times New Roman" w:hAnsi="Times New Roman"/>
          <w:sz w:val="24"/>
        </w:rPr>
        <w:t>Xiongjie Li (XL): Conceived the study, designed the methodological framework, performed data collection, conducted Mendelian randomization analyses and prognostic modeling, and drafted the original manuscript.</w:t>
      </w:r>
    </w:p>
    <w:p w14:paraId="778813AF">
      <w:pPr>
        <w:spacing w:after="80" w:line="276" w:lineRule="auto"/>
        <w:ind w:firstLine="360"/>
        <w:jc w:val="both"/>
      </w:pPr>
      <w:r>
        <w:rPr>
          <w:rFonts w:ascii="Times New Roman" w:hAnsi="Times New Roman"/>
          <w:sz w:val="24"/>
        </w:rPr>
        <w:t>Fengyue Zhang (FZ): Participated in data collection, Mendelian randomization analyses, and prognostic modeling.</w:t>
      </w:r>
    </w:p>
    <w:p w14:paraId="16B30B64">
      <w:pPr>
        <w:spacing w:after="80" w:line="276" w:lineRule="auto"/>
        <w:ind w:firstLine="360"/>
        <w:jc w:val="both"/>
      </w:pPr>
      <w:r>
        <w:rPr>
          <w:rFonts w:ascii="Times New Roman" w:hAnsi="Times New Roman"/>
          <w:sz w:val="24"/>
        </w:rPr>
        <w:t>Xuan Xu (XX): Participated in multi-omics data integration and data visualization.</w:t>
      </w:r>
    </w:p>
    <w:p w14:paraId="631B3E5F">
      <w:pPr>
        <w:spacing w:after="80" w:line="276" w:lineRule="auto"/>
        <w:ind w:firstLine="360"/>
        <w:jc w:val="both"/>
      </w:pPr>
      <w:r>
        <w:rPr>
          <w:rFonts w:ascii="Times New Roman" w:hAnsi="Times New Roman"/>
          <w:sz w:val="24"/>
        </w:rPr>
        <w:t>Zhenyao Wu (ZW): Participated in multi-omics data integration and data visualization.</w:t>
      </w:r>
    </w:p>
    <w:p w14:paraId="11C0EFC5">
      <w:pPr>
        <w:spacing w:after="80" w:line="276" w:lineRule="auto"/>
        <w:ind w:firstLine="360"/>
        <w:jc w:val="both"/>
      </w:pPr>
      <w:r>
        <w:rPr>
          <w:rFonts w:ascii="Times New Roman" w:hAnsi="Times New Roman"/>
          <w:sz w:val="24"/>
        </w:rPr>
        <w:t>Xiaoyan Zhang (XZ): Provided clinical interpretation and assisted with the external validation analyses.</w:t>
      </w:r>
    </w:p>
    <w:p w14:paraId="076667C8">
      <w:pPr>
        <w:spacing w:after="80" w:line="276" w:lineRule="auto"/>
        <w:ind w:firstLine="360"/>
        <w:jc w:val="both"/>
      </w:pPr>
      <w:r>
        <w:rPr>
          <w:rFonts w:ascii="Times New Roman" w:hAnsi="Times New Roman"/>
          <w:sz w:val="24"/>
        </w:rPr>
        <w:t>Xianghui Wang (XW): Supervised the study, provided administrative support, and critically revised the manuscript.</w:t>
      </w:r>
    </w:p>
    <w:p w14:paraId="3EDECFCD">
      <w:pPr>
        <w:spacing w:after="80" w:line="276" w:lineRule="auto"/>
        <w:ind w:firstLine="360"/>
        <w:jc w:val="both"/>
      </w:pPr>
      <w:r>
        <w:rPr>
          <w:rFonts w:ascii="Times New Roman" w:hAnsi="Times New Roman"/>
          <w:sz w:val="24"/>
        </w:rPr>
        <w:t>All authors read and approved the final manuscript.</w:t>
      </w:r>
    </w:p>
    <w:p w14:paraId="674C4892">
      <w:pPr>
        <w:spacing w:before="200" w:after="80"/>
        <w:jc w:val="left"/>
      </w:pPr>
      <w:r>
        <w:rPr>
          <w:rFonts w:ascii="Times New Roman" w:hAnsi="Times New Roman"/>
          <w:b/>
          <w:sz w:val="26"/>
        </w:rPr>
        <w:t>Funding</w:t>
      </w:r>
    </w:p>
    <w:p w14:paraId="7A16532D">
      <w:pPr>
        <w:spacing w:after="80" w:line="276" w:lineRule="auto"/>
        <w:ind w:firstLine="360"/>
        <w:jc w:val="both"/>
      </w:pPr>
      <w:r>
        <w:rPr>
          <w:rFonts w:ascii="Times New Roman" w:hAnsi="Times New Roman"/>
          <w:sz w:val="24"/>
        </w:rPr>
        <w:t>The authors declare that no specific funding, grants, or other financial support were received for the preparation of this manuscript.</w:t>
      </w:r>
    </w:p>
    <w:p w14:paraId="5A420BC8">
      <w:pPr>
        <w:spacing w:before="200" w:after="80"/>
        <w:jc w:val="left"/>
      </w:pPr>
      <w:r>
        <w:rPr>
          <w:rFonts w:ascii="Times New Roman" w:hAnsi="Times New Roman"/>
          <w:b/>
          <w:sz w:val="26"/>
        </w:rPr>
        <w:t>Declarations</w:t>
      </w:r>
    </w:p>
    <w:p w14:paraId="2BEC9505">
      <w:pPr>
        <w:spacing w:before="200" w:after="80"/>
        <w:jc w:val="left"/>
      </w:pPr>
      <w:r>
        <w:rPr>
          <w:rFonts w:ascii="Times New Roman" w:hAnsi="Times New Roman"/>
          <w:b/>
          <w:sz w:val="24"/>
        </w:rPr>
        <w:t>Competing interests</w:t>
      </w:r>
    </w:p>
    <w:p w14:paraId="1567CE10">
      <w:pPr>
        <w:spacing w:after="80" w:line="276" w:lineRule="auto"/>
        <w:ind w:firstLine="360"/>
        <w:jc w:val="both"/>
      </w:pPr>
      <w:r>
        <w:rPr>
          <w:rFonts w:ascii="Times New Roman" w:hAnsi="Times New Roman"/>
          <w:sz w:val="24"/>
        </w:rPr>
        <w:t>The authors declare no competing interests.</w:t>
      </w:r>
    </w:p>
    <w:p w14:paraId="412E0158">
      <w:pPr>
        <w:spacing w:before="200" w:after="80"/>
        <w:jc w:val="left"/>
      </w:pPr>
      <w:r>
        <w:rPr>
          <w:rFonts w:ascii="Times New Roman" w:hAnsi="Times New Roman"/>
          <w:b/>
          <w:sz w:val="24"/>
        </w:rPr>
        <w:t>Ethics approval and consent to participate</w:t>
      </w:r>
    </w:p>
    <w:p w14:paraId="5DA92907">
      <w:pPr>
        <w:spacing w:after="80" w:line="276" w:lineRule="auto"/>
        <w:ind w:firstLine="360"/>
        <w:jc w:val="both"/>
      </w:pPr>
      <w:r>
        <w:rPr>
          <w:rFonts w:ascii="Times New Roman" w:hAnsi="Times New Roman"/>
          <w:sz w:val="24"/>
        </w:rPr>
        <w:t>Ethical review and approval were waived for this study because all analyses were based on publicly available, de-identified summary statistics and public molecular datasets, including GWAS summary data, TCGA data, and CPTAC data. All original studies cited in this work obtained the relevant ethical approvals and informed consent.</w:t>
      </w:r>
    </w:p>
    <w:p w14:paraId="61015C79">
      <w:pPr>
        <w:spacing w:before="200" w:after="80"/>
        <w:jc w:val="left"/>
      </w:pPr>
      <w:r>
        <w:rPr>
          <w:rFonts w:ascii="Times New Roman" w:hAnsi="Times New Roman"/>
          <w:b/>
          <w:sz w:val="24"/>
        </w:rPr>
        <w:t>Availability of data and materials</w:t>
      </w:r>
    </w:p>
    <w:p w14:paraId="0360AFE3">
      <w:pPr>
        <w:spacing w:after="80" w:line="276" w:lineRule="auto"/>
        <w:ind w:firstLine="360"/>
        <w:jc w:val="both"/>
      </w:pPr>
      <w:r>
        <w:rPr>
          <w:rFonts w:ascii="Times New Roman" w:hAnsi="Times New Roman"/>
          <w:sz w:val="24"/>
        </w:rPr>
        <w:t>Publicly available datasets were analyzed in this study. GWAS summary statistics were obtained from the IEU OpenGWAS platform (https://gwas.mrcieu.ac.uk/). Transcriptomic and methylation data were accessed through The Cancer Genome Atlas data portal (https://portal.gdc.cancer.gov/). Proteomic data were obtained from the Clinical Proteomic Tumor Analysis Consortium data portal. Code for Mendelian randomization analyses, prognostic modeling, and visualization is available at: https://github.com/morningLxj/Metabolic-LungCancer-MR.</w:t>
      </w:r>
    </w:p>
    <w:p w14:paraId="2CC48E8F">
      <w:pPr>
        <w:spacing w:before="200" w:after="80"/>
        <w:jc w:val="left"/>
      </w:pPr>
      <w:r>
        <w:rPr>
          <w:rFonts w:ascii="Times New Roman" w:hAnsi="Times New Roman"/>
          <w:b/>
          <w:sz w:val="26"/>
        </w:rPr>
        <w:t>References</w:t>
      </w:r>
    </w:p>
    <w:p w14:paraId="513677D9">
      <w:pPr>
        <w:spacing w:after="40" w:line="240" w:lineRule="auto"/>
        <w:ind w:left="360" w:hanging="360"/>
        <w:jc w:val="both"/>
      </w:pPr>
      <w:r>
        <w:rPr>
          <w:rFonts w:ascii="Times New Roman" w:hAnsi="Times New Roman"/>
          <w:sz w:val="20"/>
        </w:rPr>
        <w:t>1. Potter, A. L. et al. Recurrence After Complete Resection for Non-Small Cell Lung Cancer in the National Lung Screening Trial. Ann Thorac Surg 116, 684–692, doi:10.1016/j.athoracsur.2023.06.004 (2023).</w:t>
      </w:r>
    </w:p>
    <w:p w14:paraId="557BF9C8">
      <w:pPr>
        <w:spacing w:after="40" w:line="240" w:lineRule="auto"/>
        <w:ind w:left="360" w:hanging="360"/>
        <w:jc w:val="both"/>
      </w:pPr>
      <w:r>
        <w:rPr>
          <w:rFonts w:ascii="Times New Roman" w:hAnsi="Times New Roman"/>
          <w:sz w:val="20"/>
        </w:rPr>
        <w:t>2. Cancer Genome Atlas Research, N. Comprehensive genomic characterization of squamous cell lung cancers. Nature 489, 519–525, doi:10.1038/nature11404 (2012).</w:t>
      </w:r>
    </w:p>
    <w:p w14:paraId="7A7F0720">
      <w:pPr>
        <w:spacing w:after="40" w:line="240" w:lineRule="auto"/>
        <w:ind w:left="360" w:hanging="360"/>
        <w:jc w:val="both"/>
      </w:pPr>
      <w:r>
        <w:rPr>
          <w:rFonts w:ascii="Times New Roman" w:hAnsi="Times New Roman"/>
          <w:sz w:val="20"/>
        </w:rPr>
        <w:t>3. Lau, S. C. M., Pan, Y., Velcheti, V. &amp; Wong, K. K. Squamous cell lung cancer: Current landscape and future therapeutic options. Cancer Cell 40, 1279–1293, doi:10.1016/j.ccell.2022.09.018 (2022).</w:t>
      </w:r>
    </w:p>
    <w:p w14:paraId="363451B2">
      <w:pPr>
        <w:spacing w:after="40" w:line="240" w:lineRule="auto"/>
        <w:ind w:left="360" w:hanging="360"/>
        <w:jc w:val="both"/>
      </w:pPr>
      <w:r>
        <w:rPr>
          <w:rFonts w:ascii="Times New Roman" w:hAnsi="Times New Roman"/>
          <w:sz w:val="20"/>
        </w:rPr>
        <w:t>4. Rajaram, R. et al. Recurrence-Free Survival in Patients With Surgically Resected Non-Small Cell Lung Cancer: A Systematic Literature Review and Meta-Analysis. Chest 165, 1260–1270, doi:10.1016/j.chest.2023.11.042 (2024).</w:t>
      </w:r>
    </w:p>
    <w:p w14:paraId="2FF97E44">
      <w:pPr>
        <w:spacing w:after="40" w:line="240" w:lineRule="auto"/>
        <w:ind w:left="360" w:hanging="360"/>
        <w:jc w:val="both"/>
      </w:pPr>
      <w:r>
        <w:rPr>
          <w:rFonts w:ascii="Times New Roman" w:hAnsi="Times New Roman"/>
          <w:sz w:val="20"/>
        </w:rPr>
        <w:t>5. Carreras-Torres, R. et al. Obesity, metabolic factors and risk of different histological types of lung cancer: A Mendelian randomization study. PLoS One 12, e0177875, doi:10.1371/journ</w:t>
      </w:r>
      <w:bookmarkStart w:id="0" w:name="_GoBack"/>
      <w:bookmarkEnd w:id="0"/>
      <w:r>
        <w:rPr>
          <w:rFonts w:ascii="Times New Roman" w:hAnsi="Times New Roman"/>
          <w:sz w:val="20"/>
        </w:rPr>
        <w:t>al.pone.0177875 (2017).</w:t>
      </w:r>
    </w:p>
    <w:p w14:paraId="66EC2B15">
      <w:pPr>
        <w:spacing w:after="40" w:line="240" w:lineRule="auto"/>
        <w:ind w:left="360" w:hanging="360"/>
        <w:jc w:val="both"/>
      </w:pPr>
      <w:r>
        <w:rPr>
          <w:rFonts w:ascii="Times New Roman" w:hAnsi="Times New Roman"/>
          <w:sz w:val="20"/>
        </w:rPr>
        <w:t>6. Wei, Z. et al. The association between metabolic syndrome and lung cancer risk: a Mendelian randomization study. Sci Rep 14, 28494, doi:10.1038/s41598-024-79260-y (2024).</w:t>
      </w:r>
    </w:p>
    <w:p w14:paraId="324431ED">
      <w:pPr>
        <w:spacing w:after="40" w:line="240" w:lineRule="auto"/>
        <w:ind w:left="360" w:hanging="360"/>
        <w:jc w:val="both"/>
      </w:pPr>
      <w:r>
        <w:rPr>
          <w:rFonts w:ascii="Times New Roman" w:hAnsi="Times New Roman"/>
          <w:sz w:val="20"/>
        </w:rPr>
        <w:t>7. Zhou, B., Liu, J., Wang, Z. M. &amp; Xi, T. C-reactive protein, interleukin 6 and lung cancer risk: a meta-analysis. PLoS One 7, e43075, doi:10.1371/journal.pone.0043075 (2012).</w:t>
      </w:r>
    </w:p>
    <w:p w14:paraId="1F5376EA">
      <w:pPr>
        <w:spacing w:after="40" w:line="240" w:lineRule="auto"/>
        <w:ind w:left="360" w:hanging="360"/>
        <w:jc w:val="both"/>
      </w:pPr>
      <w:r>
        <w:rPr>
          <w:rFonts w:ascii="Times New Roman" w:hAnsi="Times New Roman"/>
          <w:sz w:val="20"/>
        </w:rPr>
        <w:t>8. Di Lorenzo, C., Dell'agli, M., Colombo, E., Sangiovanni, E. &amp; Restani, P. Metabolic syndrome and inflammation: a critical review of in vitro and clinical approaches for benefit assessment of plant food supplements. Evid Based Complement Alternat Med 2013, 782461, doi:10.1155/2013/782461 (2013).</w:t>
      </w:r>
    </w:p>
    <w:p w14:paraId="234F976D">
      <w:pPr>
        <w:spacing w:after="40" w:line="240" w:lineRule="auto"/>
        <w:ind w:left="360" w:hanging="360"/>
        <w:jc w:val="both"/>
      </w:pPr>
      <w:r>
        <w:rPr>
          <w:rFonts w:ascii="Times New Roman" w:hAnsi="Times New Roman"/>
          <w:sz w:val="20"/>
        </w:rPr>
        <w:t>9. Sanderson, E. et al. Mendelian randomization. Nat Rev Methods Primers 2, doi:10.1038/s43586-021-00092-5 (2022).</w:t>
      </w:r>
    </w:p>
    <w:p w14:paraId="11C1E8F9">
      <w:pPr>
        <w:spacing w:after="40" w:line="240" w:lineRule="auto"/>
        <w:ind w:left="360" w:hanging="360"/>
        <w:jc w:val="both"/>
      </w:pPr>
      <w:r>
        <w:rPr>
          <w:rFonts w:ascii="Times New Roman" w:hAnsi="Times New Roman"/>
          <w:sz w:val="20"/>
        </w:rPr>
        <w:t>10. Kaelin, W. G., Jr. &amp; McKnight, S. L. Influence of metabolism on epigenetics and disease. Cell 153, 56–69, doi:10.1016/j.cell.2013.03.004 (2013).</w:t>
      </w:r>
    </w:p>
    <w:p w14:paraId="775EA96F">
      <w:pPr>
        <w:spacing w:after="40" w:line="240" w:lineRule="auto"/>
        <w:ind w:left="360" w:hanging="360"/>
        <w:jc w:val="both"/>
      </w:pPr>
      <w:r>
        <w:rPr>
          <w:rFonts w:ascii="Times New Roman" w:hAnsi="Times New Roman"/>
          <w:sz w:val="20"/>
        </w:rPr>
        <w:t>11. Burgess, S. et al. Guidelines for performing Mendelian randomization investigations: update for summer 2023. Wellcome Open Res 4, 186, doi:10.12688/wellcomeopenres.15555.3 (2019).</w:t>
      </w:r>
    </w:p>
    <w:p w14:paraId="508959ED">
      <w:pPr>
        <w:spacing w:after="40" w:line="240" w:lineRule="auto"/>
        <w:ind w:left="360" w:hanging="360"/>
        <w:jc w:val="both"/>
      </w:pPr>
      <w:r>
        <w:rPr>
          <w:rFonts w:ascii="Times New Roman" w:hAnsi="Times New Roman"/>
          <w:sz w:val="20"/>
        </w:rPr>
        <w:t>12. Lu, C. &amp; Thompson, C. B. Metabolic regulation of epigenetics. Cell Metab 16, 9–17, doi:10.1016/j.cmet.2012.06.001 (2012).</w:t>
      </w:r>
    </w:p>
    <w:p w14:paraId="2D06FE80">
      <w:pPr>
        <w:spacing w:after="40" w:line="240" w:lineRule="auto"/>
        <w:ind w:left="360" w:hanging="360"/>
        <w:jc w:val="both"/>
      </w:pPr>
      <w:r>
        <w:rPr>
          <w:rFonts w:ascii="Times New Roman" w:hAnsi="Times New Roman"/>
          <w:sz w:val="20"/>
        </w:rPr>
        <w:t>13. consortium, B. Quantitative comparison of DNA methylation assays for biomarker development and clinical applications. Nat Biotechnol 34, 726–737, doi:10.1038/nbt.3605 (2016).</w:t>
      </w:r>
    </w:p>
    <w:p w14:paraId="35CE6010">
      <w:pPr>
        <w:spacing w:after="40" w:line="240" w:lineRule="auto"/>
        <w:ind w:left="360" w:hanging="360"/>
        <w:jc w:val="both"/>
      </w:pPr>
      <w:r>
        <w:rPr>
          <w:rFonts w:ascii="Times New Roman" w:hAnsi="Times New Roman"/>
          <w:sz w:val="20"/>
        </w:rPr>
        <w:t>14. Wagner, W. How to Translate DNA Methylation Biomarkers Into Clinical Practice. Front Cell Dev Biol 10, 854797, doi:10.3389/fcell.2022.854797 (2022).</w:t>
      </w:r>
    </w:p>
    <w:p w14:paraId="60480DDC">
      <w:pPr>
        <w:spacing w:after="40" w:line="240" w:lineRule="auto"/>
        <w:ind w:left="360" w:hanging="360"/>
        <w:jc w:val="both"/>
      </w:pPr>
      <w:r>
        <w:rPr>
          <w:rFonts w:ascii="Times New Roman" w:hAnsi="Times New Roman"/>
          <w:sz w:val="20"/>
        </w:rPr>
        <w:t>15. Gaunt, T. R. et al. Systematic identification of genetic influences on methylation across the human life course. Genome Biol 17, 61, doi:10.1186/s13059-016-0926-z (2016).</w:t>
      </w:r>
    </w:p>
    <w:p w14:paraId="188C4B8F">
      <w:pPr>
        <w:spacing w:after="40" w:line="240" w:lineRule="auto"/>
        <w:ind w:left="360" w:hanging="360"/>
        <w:jc w:val="both"/>
      </w:pPr>
      <w:r>
        <w:rPr>
          <w:rFonts w:ascii="Times New Roman" w:hAnsi="Times New Roman"/>
          <w:sz w:val="20"/>
        </w:rPr>
        <w:t>16. Relton, C. L. &amp; Davey Smith, G. Two-step epigenetic Mendelian randomization: a strategy for establishing the causal role of epigenetic processes in pathways to disease. Int J Epidemiol 41, 161–176, doi:10.1093/ije/dyr233 (2012).</w:t>
      </w:r>
    </w:p>
    <w:p w14:paraId="162C49D2">
      <w:pPr>
        <w:spacing w:after="40" w:line="240" w:lineRule="auto"/>
        <w:ind w:left="360" w:hanging="360"/>
        <w:jc w:val="both"/>
      </w:pPr>
      <w:r>
        <w:rPr>
          <w:rFonts w:ascii="Times New Roman" w:hAnsi="Times New Roman"/>
          <w:sz w:val="20"/>
        </w:rPr>
        <w:t>17. Richardson, T. G. et al. Systematic Mendelian randomization framework elucidates hundreds of CpG sites which may mediate the influence of genetic variants on disease. Hum Mol Genet 27, 3293–3304, doi:10.1093/hmg/ddy210 (2018).</w:t>
      </w:r>
    </w:p>
    <w:p w14:paraId="19282593">
      <w:pPr>
        <w:spacing w:after="40" w:line="240" w:lineRule="auto"/>
        <w:ind w:left="360" w:hanging="360"/>
        <w:jc w:val="both"/>
      </w:pPr>
      <w:r>
        <w:rPr>
          <w:rFonts w:ascii="Times New Roman" w:hAnsi="Times New Roman"/>
          <w:sz w:val="20"/>
        </w:rPr>
        <w:t>18. Locke, A. E. et al. Genetic studies of body mass index yield new insights for obesity biology. Nature 518, 197–206, doi:10.1038/nature14177 (2015).</w:t>
      </w:r>
    </w:p>
    <w:p w14:paraId="49DED63C">
      <w:pPr>
        <w:spacing w:after="40" w:line="240" w:lineRule="auto"/>
        <w:ind w:left="360" w:hanging="360"/>
        <w:jc w:val="both"/>
      </w:pPr>
      <w:r>
        <w:rPr>
          <w:rFonts w:ascii="Times New Roman" w:hAnsi="Times New Roman"/>
          <w:sz w:val="20"/>
        </w:rPr>
        <w:t>19. Liu, M. et al. Association studies of up to 1.2 million individuals yield new insights into the genetic etiology of tobacco and alcohol use. Nat Genet 51, 237–244, doi:10.1038/s41588-018-0307-5 (2019).</w:t>
      </w:r>
    </w:p>
    <w:p w14:paraId="0EC87E4A">
      <w:pPr>
        <w:spacing w:after="40" w:line="240" w:lineRule="auto"/>
        <w:ind w:left="360" w:hanging="360"/>
        <w:jc w:val="both"/>
      </w:pPr>
      <w:r>
        <w:rPr>
          <w:rFonts w:ascii="Times New Roman" w:hAnsi="Times New Roman"/>
          <w:sz w:val="20"/>
        </w:rPr>
        <w:t>20. Ligthart, S. et al. Genome Analyses of &gt;200,000 Individuals Identify 58 Loci for Chronic Inflammation and Highlight Pathways that Link Inflammation and Complex Disorders. Am J Hum Genet 103, 691–706, doi:10.1016/j.ajhg.2018.09.009 (2018).</w:t>
      </w:r>
    </w:p>
    <w:p w14:paraId="25F2EF51">
      <w:pPr>
        <w:spacing w:after="40" w:line="240" w:lineRule="auto"/>
        <w:ind w:left="360" w:hanging="360"/>
        <w:jc w:val="both"/>
      </w:pPr>
      <w:r>
        <w:rPr>
          <w:rFonts w:ascii="Times New Roman" w:hAnsi="Times New Roman"/>
          <w:sz w:val="20"/>
        </w:rPr>
        <w:t>21. Willer, C. J. et al. Discovery and refinement of loci associated with lipid levels. Nat Genet 45, 1274–1283, doi:10.1038/ng.2797 (2013).</w:t>
      </w:r>
    </w:p>
    <w:p w14:paraId="3D04DAD2">
      <w:pPr>
        <w:spacing w:after="40" w:line="240" w:lineRule="auto"/>
        <w:ind w:left="360" w:hanging="360"/>
        <w:jc w:val="both"/>
      </w:pPr>
      <w:r>
        <w:rPr>
          <w:rFonts w:ascii="Times New Roman" w:hAnsi="Times New Roman"/>
          <w:sz w:val="20"/>
        </w:rPr>
        <w:t>22. McKay, J. D. et al. Large-scale association analysis identifies new lung cancer susceptibility loci and heterogeneity in genetic susceptibility across histological subtypes. Nat Genet 49, 1126–1132, doi:10.1038/ng.3892 (2017).</w:t>
      </w:r>
    </w:p>
    <w:p w14:paraId="64A7CEFD">
      <w:pPr>
        <w:spacing w:after="40" w:line="240" w:lineRule="auto"/>
        <w:ind w:left="360" w:hanging="360"/>
        <w:jc w:val="both"/>
      </w:pPr>
      <w:r>
        <w:rPr>
          <w:rFonts w:ascii="Times New Roman" w:hAnsi="Times New Roman"/>
          <w:sz w:val="20"/>
        </w:rPr>
        <w:t>23. Fanidi, A. et al. Circulating Folate, Vitamin B6, and Methionine in Relation to Lung Cancer Risk in the Lung Cancer Cohort Consortium (LC3). J Natl Cancer Inst 110, 57–67, doi:10.1093/jnci/djx119 (2018).</w:t>
      </w:r>
    </w:p>
    <w:p w14:paraId="54D54BA7">
      <w:pPr>
        <w:spacing w:after="40" w:line="240" w:lineRule="auto"/>
        <w:ind w:left="360" w:hanging="360"/>
        <w:jc w:val="both"/>
      </w:pPr>
      <w:r>
        <w:rPr>
          <w:rFonts w:ascii="Times New Roman" w:hAnsi="Times New Roman"/>
          <w:sz w:val="20"/>
        </w:rPr>
        <w:t>24. Sung, H. et al. Global Cancer Statistics 2020: GLOBOCAN Estimates of Incidence and Mortality Worldwide for 36 Cancers in 185 Countries. CA Cancer J Clin 71, 209–249, doi:10.3322/caac.21660 (2021).</w:t>
      </w:r>
    </w:p>
    <w:p w14:paraId="7BA36507">
      <w:pPr>
        <w:spacing w:after="40" w:line="240" w:lineRule="auto"/>
        <w:ind w:left="360" w:hanging="360"/>
        <w:jc w:val="both"/>
      </w:pPr>
      <w:r>
        <w:rPr>
          <w:rFonts w:ascii="Times New Roman" w:hAnsi="Times New Roman"/>
          <w:sz w:val="20"/>
        </w:rPr>
        <w:t>25. Davies, N. M., Holmes, M. V. &amp; Davey Smith, G. Reading Mendelian randomisation studies: a guide, glossary, and checklist for clinicians. BMJ 362, k601, doi:10.1136/bmj.k601 (2018).</w:t>
      </w:r>
    </w:p>
    <w:p w14:paraId="304B1435">
      <w:pPr>
        <w:spacing w:after="40" w:line="240" w:lineRule="auto"/>
        <w:ind w:left="360" w:hanging="360"/>
        <w:jc w:val="both"/>
      </w:pPr>
      <w:r>
        <w:rPr>
          <w:rFonts w:ascii="Times New Roman" w:hAnsi="Times New Roman"/>
          <w:sz w:val="20"/>
        </w:rPr>
        <w:t>26. Hemani, G. et al. The MR-Base platform supports systematic causal inference across the human phenome. Elife 7, doi:10.7554/eLife.34408 (2018).</w:t>
      </w:r>
    </w:p>
    <w:p w14:paraId="6029525D">
      <w:pPr>
        <w:spacing w:after="40" w:line="240" w:lineRule="auto"/>
        <w:ind w:left="360" w:hanging="360"/>
        <w:jc w:val="both"/>
      </w:pPr>
      <w:r>
        <w:rPr>
          <w:rFonts w:ascii="Times New Roman" w:hAnsi="Times New Roman"/>
          <w:sz w:val="20"/>
        </w:rPr>
        <w:t>27. Verbanck, M., Chen, C. Y., Neale, B. &amp; Do, R. Publisher Correction: Detection of widespread horizontal pleiotropy in causal relationships inferred from Mendelian randomization between complex traits and diseases. Nat Genet 50, 1196, doi:10.1038/s41588-018-0164-2 (2018).</w:t>
      </w:r>
    </w:p>
    <w:p w14:paraId="7E39B363">
      <w:pPr>
        <w:spacing w:after="40" w:line="240" w:lineRule="auto"/>
        <w:ind w:left="360" w:hanging="360"/>
        <w:jc w:val="both"/>
      </w:pPr>
      <w:r>
        <w:rPr>
          <w:rFonts w:ascii="Times New Roman" w:hAnsi="Times New Roman"/>
          <w:sz w:val="20"/>
        </w:rPr>
        <w:t>28. Consortium, G. T. The GTEx Consortium atlas of genetic regulatory effects across human tissues. Science 369, 1318–1330, doi:10.1126/science.aaz1776 (2020).</w:t>
      </w:r>
    </w:p>
    <w:p w14:paraId="346C77E1">
      <w:pPr>
        <w:spacing w:after="40" w:line="240" w:lineRule="auto"/>
        <w:ind w:left="360" w:hanging="360"/>
        <w:jc w:val="both"/>
      </w:pPr>
      <w:r>
        <w:rPr>
          <w:rFonts w:ascii="Times New Roman" w:hAnsi="Times New Roman"/>
          <w:sz w:val="20"/>
        </w:rPr>
        <w:t>29. Giambartolomei, C. et al. Bayesian test for colocalisation between pairs of genetic association studies using summary statistics. PLoS Genet 10, e1004383, doi:10.1371/journal.pgen.1004383 (2014).</w:t>
      </w:r>
    </w:p>
    <w:p w14:paraId="7C4AD6A6">
      <w:pPr>
        <w:spacing w:after="40" w:line="240" w:lineRule="auto"/>
        <w:ind w:left="360" w:hanging="360"/>
        <w:jc w:val="both"/>
      </w:pPr>
      <w:r>
        <w:rPr>
          <w:rFonts w:ascii="Times New Roman" w:hAnsi="Times New Roman"/>
          <w:sz w:val="20"/>
        </w:rPr>
        <w:t>30. Love, M. I., Huber, W. &amp; Anders, S. Moderated estimation of fold change and dispersion for RNA-seq data with DESeq2. Genome Biol 15, 550, doi:10.1186/s13059-014-0550-8 (2014).</w:t>
      </w:r>
    </w:p>
    <w:p w14:paraId="758571AD">
      <w:pPr>
        <w:spacing w:after="40" w:line="240" w:lineRule="auto"/>
        <w:ind w:left="360" w:hanging="360"/>
        <w:jc w:val="both"/>
      </w:pPr>
      <w:r>
        <w:rPr>
          <w:rFonts w:ascii="Times New Roman" w:hAnsi="Times New Roman"/>
          <w:sz w:val="20"/>
        </w:rPr>
        <w:t>31. Robinson, M. D., McCarthy, D. J. &amp; Smyth, G. K. edgeR: a Bioconductor package for differential expression analysis of digital gene expression data. Bioinformatics 26, 139–140, doi:10.1093/bioinformatics/btp616 (2010).</w:t>
      </w:r>
    </w:p>
    <w:p w14:paraId="5920FF4C">
      <w:pPr>
        <w:spacing w:after="40" w:line="240" w:lineRule="auto"/>
        <w:ind w:left="360" w:hanging="360"/>
        <w:jc w:val="both"/>
      </w:pPr>
      <w:r>
        <w:rPr>
          <w:rFonts w:ascii="Times New Roman" w:hAnsi="Times New Roman"/>
          <w:sz w:val="20"/>
        </w:rPr>
        <w:t>32. Tanaka, T. [[Fundamentals] 5. Python+scikit-learn for Machine Learning in Medical Imaging]. Nihon Hoshasen Gijutsu Gakkai Zasshi 79, 1189–1193, doi:10.6009/jjrt.2023-2266 (2023).</w:t>
      </w:r>
    </w:p>
    <w:p w14:paraId="3F01B298">
      <w:pPr>
        <w:spacing w:after="40" w:line="240" w:lineRule="auto"/>
        <w:ind w:left="360" w:hanging="360"/>
        <w:jc w:val="both"/>
      </w:pPr>
      <w:r>
        <w:rPr>
          <w:rFonts w:ascii="Times New Roman" w:hAnsi="Times New Roman"/>
          <w:sz w:val="20"/>
        </w:rPr>
        <w:t>33. Troyanskaya, O. et al. Missing value estimation methods for DNA microarrays. Bioinformatics 17, 520–525, doi:10.1093/bioinformatics/17.6.520 (2001).</w:t>
      </w:r>
    </w:p>
    <w:p w14:paraId="60B3E525">
      <w:pPr>
        <w:spacing w:after="40" w:line="240" w:lineRule="auto"/>
        <w:ind w:left="360" w:hanging="360"/>
        <w:jc w:val="both"/>
      </w:pPr>
      <w:r>
        <w:rPr>
          <w:rFonts w:ascii="Times New Roman" w:hAnsi="Times New Roman"/>
          <w:sz w:val="20"/>
        </w:rPr>
        <w:t>34. Johnson, W. E., Li, C. &amp; Rabinovic, A. Adjusting batch effects in microarray expression data using empirical Bayes methods. Biostatistics 8, 118–127, doi:10.1093/biostatistics/kxj037 (2007).</w:t>
      </w:r>
    </w:p>
    <w:p w14:paraId="7526FB3A">
      <w:pPr>
        <w:spacing w:after="40" w:line="240" w:lineRule="auto"/>
        <w:ind w:left="360" w:hanging="360"/>
        <w:jc w:val="both"/>
      </w:pPr>
      <w:r>
        <w:rPr>
          <w:rFonts w:ascii="Times New Roman" w:hAnsi="Times New Roman"/>
          <w:sz w:val="20"/>
        </w:rPr>
        <w:t>35. Kanehisa, M. &amp; Goto, S. KEGG: kyoto encyclopedia of genes and genomes. Nucleic Acids Res 28, 27–30, doi:10.1093/nar/28.1.27 (2000).</w:t>
      </w:r>
    </w:p>
    <w:p w14:paraId="369E6CB9">
      <w:pPr>
        <w:spacing w:after="40" w:line="240" w:lineRule="auto"/>
        <w:ind w:left="360" w:hanging="360"/>
        <w:jc w:val="both"/>
      </w:pPr>
      <w:r>
        <w:rPr>
          <w:rFonts w:ascii="Times New Roman" w:hAnsi="Times New Roman"/>
          <w:sz w:val="20"/>
        </w:rPr>
        <w:t>36. Yu, G., Wang, L. G., Han, Y. &amp; He, Q. Y. clusterProfiler: an R package for comparing biological themes among gene clusters. OMICS 16, 284–287, doi:10.1089/omi.2011.0118 (2012).</w:t>
      </w:r>
    </w:p>
    <w:p w14:paraId="176EB28D">
      <w:pPr>
        <w:spacing w:after="40" w:line="240" w:lineRule="auto"/>
        <w:ind w:left="360" w:hanging="360"/>
        <w:jc w:val="both"/>
      </w:pPr>
      <w:r>
        <w:rPr>
          <w:rFonts w:ascii="Times New Roman" w:hAnsi="Times New Roman"/>
          <w:sz w:val="20"/>
        </w:rPr>
        <w:t>37. Fabregat, A. et al. The Reactome pathway Knowledgebase. Nucleic Acids Res 44, D481–487, doi:10.1093/nar/gkv1351 (2016).</w:t>
      </w:r>
    </w:p>
    <w:p w14:paraId="3E51A635">
      <w:pPr>
        <w:spacing w:after="40" w:line="240" w:lineRule="auto"/>
        <w:ind w:left="360" w:hanging="360"/>
        <w:jc w:val="both"/>
      </w:pPr>
      <w:r>
        <w:rPr>
          <w:rFonts w:ascii="Times New Roman" w:hAnsi="Times New Roman"/>
          <w:sz w:val="20"/>
        </w:rPr>
        <w:t>38. Hanzelmann, S., Castelo, R. &amp; Guinney, J. GSVA: gene set variation analysis for microarray and RNA-seq data. BMC Bioinformatics 14, 7, doi:10.1186/1471-2105-14-7 (2013).</w:t>
      </w:r>
    </w:p>
    <w:p w14:paraId="17B52B98">
      <w:pPr>
        <w:spacing w:after="40" w:line="240" w:lineRule="auto"/>
        <w:ind w:left="360" w:hanging="360"/>
        <w:jc w:val="both"/>
      </w:pPr>
      <w:r>
        <w:rPr>
          <w:rFonts w:ascii="Times New Roman" w:hAnsi="Times New Roman"/>
          <w:sz w:val="20"/>
        </w:rPr>
        <w:t>39. Friedman, J., Hastie, T. &amp; Tibshirani, R. Regularization Paths for Generalized Linear Models via Coordinate Descent. J Stat Softw 33, 1–22 (2010).</w:t>
      </w:r>
    </w:p>
    <w:p w14:paraId="5F24B4F2">
      <w:pPr>
        <w:spacing w:after="40" w:line="240" w:lineRule="auto"/>
        <w:ind w:left="360" w:hanging="360"/>
        <w:jc w:val="both"/>
      </w:pPr>
      <w:r>
        <w:rPr>
          <w:rFonts w:ascii="Times New Roman" w:hAnsi="Times New Roman"/>
          <w:sz w:val="20"/>
        </w:rPr>
        <w:t>40. Dinse, G. E. &amp; Lagakos, S. W. Nonparametric estimation of lifetime and disease onset distributions from incomplete observations. Biometrics 38, 921–932 (1982).</w:t>
      </w:r>
    </w:p>
    <w:p w14:paraId="7B2DC53A">
      <w:pPr>
        <w:spacing w:after="40" w:line="240" w:lineRule="auto"/>
        <w:ind w:left="360" w:hanging="360"/>
        <w:jc w:val="both"/>
      </w:pPr>
      <w:r>
        <w:rPr>
          <w:rFonts w:ascii="Times New Roman" w:hAnsi="Times New Roman"/>
          <w:sz w:val="20"/>
        </w:rPr>
        <w:t>41. Goldstraw, P. et al. The IASLC Lung Cancer Staging Project: Proposals for Revision of the TNM Stage Groupings in the Forthcoming (Eighth) Edition of the TNM Classification for Lung Cancer. J Thorac Oncol 11, 39–51, doi:10.1016/j.jtho.2015.09.009 (2016).</w:t>
      </w:r>
    </w:p>
    <w:p w14:paraId="51512A1C">
      <w:pPr>
        <w:spacing w:after="40" w:line="240" w:lineRule="auto"/>
        <w:ind w:left="360" w:hanging="360"/>
        <w:jc w:val="both"/>
      </w:pPr>
      <w:r>
        <w:rPr>
          <w:rFonts w:ascii="Times New Roman" w:hAnsi="Times New Roman"/>
          <w:sz w:val="20"/>
        </w:rPr>
        <w:t>42. Satpathy, S. et al. A proteogenomic portrait of lung squamous cell carcinoma. Cell 184, 4348–4371 e4340, doi:10.1016/j.cell.2021.07.016 (2021).</w:t>
      </w:r>
    </w:p>
    <w:p w14:paraId="4D00632C">
      <w:pPr>
        <w:spacing w:after="40" w:line="240" w:lineRule="auto"/>
        <w:ind w:left="360" w:hanging="360"/>
        <w:jc w:val="both"/>
      </w:pPr>
      <w:r>
        <w:rPr>
          <w:rFonts w:ascii="Times New Roman" w:hAnsi="Times New Roman"/>
          <w:sz w:val="20"/>
        </w:rPr>
        <w:t>43. Bowden, J., Davey Smith, G. &amp; Burgess, S. Mendelian randomization with invalid instruments: effect estimation and bias detection through Egger regression. Int J Epidemiol 44, 512–525, doi:10.1093/ije/dyv080 (2015).</w:t>
      </w:r>
    </w:p>
    <w:p w14:paraId="1D35564E">
      <w:pPr>
        <w:spacing w:after="40" w:line="240" w:lineRule="auto"/>
        <w:ind w:left="360" w:hanging="360"/>
        <w:jc w:val="both"/>
      </w:pPr>
      <w:r>
        <w:rPr>
          <w:rFonts w:ascii="Times New Roman" w:hAnsi="Times New Roman"/>
          <w:sz w:val="20"/>
        </w:rPr>
        <w:t>44. Smith, G. D. &amp; Ebrahim, S. 'Mendelian randomization': can genetic epidemiology contribute to understanding environmental determinants of disease? Int J Epidemiol 32, 1–22, doi:10.1093/ije/dyg070 (2003).</w:t>
      </w:r>
    </w:p>
    <w:p w14:paraId="2F822C1A">
      <w:pPr>
        <w:spacing w:after="40" w:line="240" w:lineRule="auto"/>
        <w:ind w:left="360" w:hanging="360"/>
        <w:jc w:val="both"/>
      </w:pPr>
      <w:r>
        <w:rPr>
          <w:rFonts w:ascii="Times New Roman" w:hAnsi="Times New Roman"/>
          <w:sz w:val="20"/>
        </w:rPr>
        <w:t>45. Wallace, C. A more accurate method for colocalisation analysis allowing for multiple causal variants. PLoS Genet 17, e1009440, doi:10.1371/journal.pgen.1009440 (2021).</w:t>
      </w:r>
    </w:p>
    <w:p w14:paraId="71FF5F45">
      <w:pPr>
        <w:spacing w:after="40" w:line="240" w:lineRule="auto"/>
        <w:ind w:left="360" w:hanging="360"/>
        <w:jc w:val="both"/>
      </w:pPr>
      <w:r>
        <w:rPr>
          <w:rFonts w:ascii="Times New Roman" w:hAnsi="Times New Roman"/>
          <w:sz w:val="20"/>
        </w:rPr>
        <w:t>46. Min, J. L. et al. Genomic and phenotypic insights from an atlas of genetic effects on DNA methylation. Nat Genet 53, 1311–1321, doi:10.1038/s41588-021-00923-x (2021).</w:t>
      </w:r>
    </w:p>
    <w:p w14:paraId="10D6A4D8">
      <w:pPr>
        <w:spacing w:after="40" w:line="240" w:lineRule="auto"/>
        <w:ind w:left="360" w:hanging="360"/>
        <w:jc w:val="both"/>
      </w:pPr>
      <w:r>
        <w:rPr>
          <w:rFonts w:ascii="Times New Roman" w:hAnsi="Times New Roman"/>
          <w:sz w:val="20"/>
        </w:rPr>
        <w:t>47. Sanderson, E., Davey Smith, G., Windmeijer, F. &amp; Bowden, J. An examination of multivariable Mendelian randomization in the single-sample and two-sample summary data settings. Int J Epidemiol 48, 713–727, doi:10.1093/ije/dyy262 (2019).</w:t>
      </w:r>
    </w:p>
    <w:p w14:paraId="5B60F991">
      <w:pPr>
        <w:spacing w:after="40" w:line="240" w:lineRule="auto"/>
        <w:ind w:left="360" w:hanging="360"/>
        <w:jc w:val="both"/>
      </w:pPr>
      <w:r>
        <w:rPr>
          <w:rFonts w:ascii="Times New Roman" w:hAnsi="Times New Roman"/>
          <w:sz w:val="20"/>
        </w:rPr>
        <w:t>48. Mantovani, A., Allavena, P., Sica, A. &amp; Balkwill, F. Cancer-related inflammation. Nature 454, 436–444, doi:10.1038/nature07205 (2008).</w:t>
      </w:r>
    </w:p>
    <w:p w14:paraId="0A23648B">
      <w:pPr>
        <w:spacing w:after="40" w:line="240" w:lineRule="auto"/>
        <w:ind w:left="360" w:hanging="360"/>
        <w:jc w:val="both"/>
      </w:pPr>
      <w:r>
        <w:rPr>
          <w:rFonts w:ascii="Times New Roman" w:hAnsi="Times New Roman"/>
          <w:sz w:val="20"/>
        </w:rPr>
        <w:t>49. Coussens, L. M. &amp; Werb, Z. Inflammation and cancer. Nature 420, 860–867, doi:10.1038/nature01322 (2002).</w:t>
      </w:r>
    </w:p>
    <w:p w14:paraId="668227B9">
      <w:pPr>
        <w:spacing w:after="40" w:line="240" w:lineRule="auto"/>
        <w:ind w:left="360" w:hanging="360"/>
        <w:jc w:val="both"/>
      </w:pPr>
      <w:r>
        <w:rPr>
          <w:rFonts w:ascii="Times New Roman" w:hAnsi="Times New Roman"/>
          <w:sz w:val="20"/>
        </w:rPr>
        <w:t>50. Carter, A. R. et al. Mendelian randomisation for mediation analysis: current methods and challenges for implementation. Eur J Epidemiol 36, 465–478, doi:10.1007/s10654-021-00757-1 (2021).</w:t>
      </w:r>
    </w:p>
    <w:p w14:paraId="6F1323E7">
      <w:pPr>
        <w:spacing w:after="40" w:line="240" w:lineRule="auto"/>
        <w:ind w:left="360" w:hanging="360"/>
        <w:jc w:val="both"/>
      </w:pPr>
      <w:r>
        <w:rPr>
          <w:rFonts w:ascii="Times New Roman" w:hAnsi="Times New Roman"/>
          <w:sz w:val="20"/>
        </w:rPr>
        <w:t>51. Gay, L. J. &amp; Felding-Habermann, B. Contribution of platelets to tumour metastasis. Nat Rev Cancer 11, 123–134, doi:10.1038/nrc3004 (2011).</w:t>
      </w:r>
    </w:p>
    <w:p w14:paraId="6B29A1D7">
      <w:pPr>
        <w:spacing w:after="40" w:line="240" w:lineRule="auto"/>
        <w:ind w:left="360" w:hanging="360"/>
        <w:jc w:val="both"/>
      </w:pPr>
      <w:r>
        <w:rPr>
          <w:rFonts w:ascii="Times New Roman" w:hAnsi="Times New Roman"/>
          <w:sz w:val="20"/>
        </w:rPr>
        <w:t>52. Laird, P. W. The power and the promise of DNA methylation markers. Nat Rev Cancer 3, 253–266, doi:10.1038/nrc1045 (2003).</w:t>
      </w:r>
    </w:p>
    <w:sectPr>
      <w:pgSz w:w="12240" w:h="15840"/>
      <w:pgMar w:top="1224" w:right="1296" w:bottom="1224"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8B5C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4249</Words>
  <Characters>28710</Characters>
  <Lines>0</Lines>
  <Paragraphs>0</Paragraphs>
  <TotalTime>0</TotalTime>
  <ScaleCrop>false</ScaleCrop>
  <LinksUpToDate>false</LinksUpToDate>
  <CharactersWithSpaces>32814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「夏末」(๑˙ー˙๑)语冰</cp:lastModifiedBy>
  <dcterms:modified xsi:type="dcterms:W3CDTF">2026-04-07T19:56:23Z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eyJoZGlkIjoiN2I2NWZjYjVhNTA2OTc4MDI5NjIxZjhhZTYwNmJiNzIiLCJ1c2VySWQiOiIyMjk2MDg1MzQifQ==</vt:lpwstr>
  </property>
  <property fmtid="{D5CDD505-2E9C-101B-9397-08002B2CF9AE}" pid="3" name="KSOProductBuildVer">
    <vt:lpwstr>2052-12.1.0.25222</vt:lpwstr>
  </property>
  <property fmtid="{D5CDD505-2E9C-101B-9397-08002B2CF9AE}" pid="4" name="ICV">
    <vt:lpwstr>D893A4F7047F4526A1BE4E6F89C0FA13_12</vt:lpwstr>
  </property>
</Properties>
</file>