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200" w:after="80" w:line="240" w:lineRule="auto"/>
        <w:jc w:val="left"/>
      </w:pPr>
      <w:r>
        <w:rPr>
          <w:rFonts w:ascii="Arial" w:hAnsi="Arial"/>
          <w:b/>
          <w:bCs/>
          <w:sz w:val="22"/>
        </w:rPr>
        <w:t xml:space="preserve">Table 1. GWAS Datasets Used in Mendelian Randomization Analyses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Trait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Category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Role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GWAS ID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Sample size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No. of SNPs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Apolipoprotein A1 levels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Metabolic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Exposure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ebi-a-GCST90025955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398,508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284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Apolipoprotein B levels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Metabolic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Exposure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ebi-a-GCST90025952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435,744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189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Fasting glucose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Metabolic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Exposure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ebi-a-GCST90002232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200,622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69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Fasting insulin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Metabolic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Exposure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ebi-a-GCST90002238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151,013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38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HDL cholesterol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Metabolic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Exposure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ieu-b-109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403,943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356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Insulin-like growth factor 1 levels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Metabolic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Exposure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ebi-a-GCST90025989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435,516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395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LDL cholesterol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Metabolic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Exposure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ieu-b-110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440,546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179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Ratio of apolipoprotein B to apolipoprotein A1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Metabolic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Exposure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ebi-a-GCST90092810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115,082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72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Remnant cholesterol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Metabolic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Exposure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ebi-a-GCST90092943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115,082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53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Body mass index (BMI)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Metabolic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Exposure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ieu-b-40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681,275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501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Triglycerides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Metabolic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Exposure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ieu-b-111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441,016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313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C-reactive protein levels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Inflammatory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Mediator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ebi-a-GCST90029070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575,531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264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Interleukin-6 levels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Inflammatory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Exposure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ebi-a-GCST90012005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21,758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2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Interleukin-6 receptor subunit alpha levels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Inflammatory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Exposure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ebi-a-GCST90012025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21,758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5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Diastolic blood pressure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Blood pressure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Exposure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ieu-b-39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757,601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460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Systolic blood pressure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Blood pressure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Exposure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ieu-b-38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757,601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461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Smoking initiation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Lifestyle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Exposure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ieu-b-4877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607,291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93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LUAD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Outcome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Outcome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ieu-a-984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65,864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14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Overall lung cancer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Outcome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Outcome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ebi-a-GCST004748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85,716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15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LUSC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Outcome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Outcome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ieu-a-989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62,467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9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rFonts w:ascii="Arial" w:hAnsi="Arial"/>
          <w:b w:val="0"/>
          <w:i/>
          <w:iCs/>
          <w:sz w:val="21"/>
        </w:rPr>
        <w:t xml:space="preserve">European-ancestry GWAS sources; columns retained for MR interpretation only.</w:t>
      </w:r>
    </w:p>
    <w:p>
      <w:pPr>
        <w:pStyle w:val="BodyText"/>
        <w:spacing w:before="200" w:after="80" w:line="240" w:lineRule="auto"/>
        <w:jc w:val="left"/>
      </w:pPr>
      <w:r>
        <w:rPr>
          <w:rFonts w:ascii="Arial" w:hAnsi="Arial"/>
          <w:b/>
          <w:bCs/>
          <w:sz w:val="22"/>
        </w:rPr>
        <w:t xml:space="preserve">Table 2. Causal Associations Between Exposures and Lung Cancer Outcomes (IVW MR)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950"/>
        <w:gridCol w:w="950"/>
        <w:gridCol w:w="1267"/>
        <w:gridCol w:w="1267"/>
        <w:gridCol w:w="1267"/>
        <w:gridCol w:w="1267"/>
      </w:tblGrid>
      <w:tr>
        <w:trPr>
          <w:tblHeader w:val="on"/>
        </w:trPr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Exposure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Outcome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OR (95% CI)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P-value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Effect direction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Significance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Subtype specificity (LUSC &gt; LUAD)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Smoking initiation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Overall lung cancer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1.639 (1.421–1.890)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bCs/>
                <w:sz w:val="20"/>
              </w:rPr>
              <w:t xml:space="preserve">&lt;0.001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Risk-increasing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***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NA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Smoking initiation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LUAD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1.447 (1.227–1.706)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bCs/>
                <w:sz w:val="20"/>
              </w:rPr>
              <w:t xml:space="preserve">&lt;0.001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Risk-increasing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***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No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Smoking initiation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LUSC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1.863 (1.497–2.317)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bCs/>
                <w:sz w:val="20"/>
              </w:rPr>
              <w:t xml:space="preserve">&lt;0.001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Risk-increasing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***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Yes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Body mass index (BMI)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Overall lung cancer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1.211 (1.102–1.330)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bCs/>
                <w:sz w:val="20"/>
              </w:rPr>
              <w:t xml:space="preserve">&lt;0.001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Risk-increasing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***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NA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Body mass index (BMI)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LUSC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1.428 (1.245–1.637)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bCs/>
                <w:sz w:val="20"/>
              </w:rPr>
              <w:t xml:space="preserve">&lt;0.001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Risk-increasing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***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Yes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C-reactive protein (CRP)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LUSC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1.188 (1.051–1.343)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0.006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Risk-increasing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**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Yes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Alcohol drinks/week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Overall lung cancer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1.560 (1.174–2.072)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0.002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Risk-increasing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**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NA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Alcohol drinks/week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LUAD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1.673 (1.145–2.445)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0.008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Risk-increasing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**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No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Diastolic blood pressure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LUSC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0.985 (0.972–0.998)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0.021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Protective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Yes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Systolic blood pressure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LUSC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0.992 (0.984–0.999)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0.026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Protective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Yes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Fasting insulin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LUAD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1.567 (1.052–2.334)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0.027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Risk-increasing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No</w:t>
            </w:r>
          </w:p>
        </w:tc>
      </w:tr>
    </w:tbl>
    <w:p>
      <w:pPr>
        <w:pStyle w:val="BodyText"/>
        <w:spacing w:before="200" w:after="80" w:line="240" w:lineRule="auto"/>
        <w:jc w:val="left"/>
      </w:pPr>
      <w:r>
        <w:rPr>
          <w:rFonts w:ascii="Arial" w:hAnsi="Arial"/>
          <w:b/>
          <w:bCs/>
          <w:sz w:val="22"/>
        </w:rPr>
        <w:t xml:space="preserve">Table 3. Integrated Multi-Omics Evidence for Prioritized Genes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772"/>
        <w:gridCol w:w="772"/>
        <w:gridCol w:w="579"/>
        <w:gridCol w:w="772"/>
        <w:gridCol w:w="772"/>
        <w:gridCol w:w="772"/>
        <w:gridCol w:w="772"/>
        <w:gridCol w:w="579"/>
        <w:gridCol w:w="772"/>
        <w:gridCol w:w="772"/>
      </w:tblGrid>
      <w:tr>
        <w:trPr>
          <w:tblHeader w:val="on"/>
        </w:trPr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Gene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Genetic (MR)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Epigenetic (mQTL)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Coloc (PP.H4)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Transcript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Protein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Immune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Clinical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Biological role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Evidence level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Key driver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MFAP2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✔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✔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0.305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Decrease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Increase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✔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✔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ECM remodeling and immune interaction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★★★★★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Yes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CDK11A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✔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✔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0.612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Not significant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Increase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✔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✔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Cell-cycle regulation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★★★☆☆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No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WRAP73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✔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✔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0.489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Decrease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Decrease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✔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✖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DNA repair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★★★☆☆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No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rFonts w:ascii="Arial" w:hAnsi="Arial"/>
          <w:b w:val="0"/>
          <w:i/>
          <w:iCs/>
          <w:sz w:val="21"/>
        </w:rPr>
        <w:t xml:space="preserve">Mechanism order: Genetic → Epigenetic → Transcript → Protein → Immune → Clinical. Evidence definition: ★★★★★ = ≥5 concordant layers; ★★★☆☆ = 3–4 concordant layers. All evidence layers were weighted equally without hierarchical prioritization.</w:t>
      </w:r>
    </w:p>
    <w:p>
      <w:pPr>
        <w:pStyle w:val="BodyText"/>
        <w:spacing w:before="200" w:after="80" w:line="240" w:lineRule="auto"/>
        <w:jc w:val="left"/>
      </w:pPr>
      <w:r>
        <w:rPr>
          <w:rFonts w:ascii="Arial" w:hAnsi="Arial"/>
          <w:b/>
          <w:bCs/>
          <w:sz w:val="22"/>
        </w:rPr>
        <w:t xml:space="preserve">Table 4. Final M12 CpG Prognostic Signature Definition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188"/>
        <w:gridCol w:w="1188"/>
        <w:gridCol w:w="1584"/>
        <w:gridCol w:w="1584"/>
      </w:tblGrid>
      <w:tr>
        <w:trPr>
          <w:tblHeader w:val="on"/>
        </w:trPr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CpG ID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Gene annotation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β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HR (95% CI)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P-value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Direction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cg06238570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BRWD1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0.210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1.23 (1.04–1.46)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0.015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Risk-increasing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cg07318658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MTMR4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0.140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1.15 (0.99–1.34)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0.077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Risk-increasing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cg13144823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CXXC5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0.104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1.11 (0.90–1.36)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0.319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Risk-increasing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cg14526939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TOR1AIP1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-0.222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0.80 (0.66–0.97)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0.024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Protective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cg07151966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intergenic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-0.294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0.75 (0.63–0.88)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4.58 × 10⁻⁴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Protective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cg12672785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EED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0.041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1.04 (0.87–1.25)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0.656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Risk-increasing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cg05801080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LNP1; TOMM70A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0.075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1.08 (0.90–1.30)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0.428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Risk-increasing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cg07154958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intergenic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-0.205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0.81 (0.62–1.07)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0.144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Protective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cg16098170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JSRP1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0.252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1.29 (1.05–1.57)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0.013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Risk-increasing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cg09010499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BDKRB2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0.260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1.30 (1.06–1.58)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0.010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Risk-increasing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cg05984948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intergenic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-0.229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0.80 (0.66–0.96)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0.017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Protective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cg00646216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intergenic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-0.152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0.86 (0.74–0.99)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0.041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Protective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rFonts w:ascii="Arial" w:hAnsi="Arial"/>
          <w:b w:val="0"/>
          <w:i/>
          <w:iCs/>
          <w:sz w:val="21"/>
        </w:rPr>
        <w:t xml:space="preserve">Model: M12_Top12 derived from penalized Cox selection and finalized by parsimony-performance balance. HR is reported from multivariable Cox with z-scored CpG features.</w:t>
      </w:r>
    </w:p>
    <w:p>
      <w:pPr>
        <w:pStyle w:val="BodyText"/>
        <w:spacing w:before="200" w:after="80" w:line="240" w:lineRule="auto"/>
        <w:jc w:val="left"/>
      </w:pPr>
      <w:r>
        <w:rPr>
          <w:rFonts w:ascii="Arial" w:hAnsi="Arial"/>
          <w:b/>
          <w:bCs/>
          <w:sz w:val="22"/>
        </w:rPr>
        <w:t xml:space="preserve">Table 5. Performance of the M12 Model Across Cohorts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880"/>
        <w:gridCol w:w="660"/>
        <w:gridCol w:w="660"/>
        <w:gridCol w:w="880"/>
        <w:gridCol w:w="880"/>
        <w:gridCol w:w="880"/>
        <w:gridCol w:w="880"/>
        <w:gridCol w:w="880"/>
        <w:gridCol w:w="660"/>
      </w:tblGrid>
      <w:tr>
        <w:trPr>
          <w:tblHeader w:val="on"/>
        </w:trPr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Dataset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Endpoint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N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HR (high vs low risk group, 95% CI; Cox model)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P-value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C-index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AUC (3-year)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Calibration slope (3Y)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Calibration R² (3Y)</w:t>
            </w:r>
          </w:p>
        </w:tc>
        <w:tc>
          <w:tcPr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pStyle w:val="Compact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bCs/>
                <w:sz w:val="20"/>
              </w:rPr>
              <w:t xml:space="preserve">Cutoff method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TCGA (training)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OS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364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2.88 (2.05–4.05)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2.32 × 10⁻¹⁰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0.664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0.685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1.227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0.843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Median (training cohort)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GSE39279 (external)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RFS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122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2.10 (1.10–4.03)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0.022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NA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NA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NA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NA</w:t>
            </w:r>
          </w:p>
        </w:tc>
        <w:tc>
          <w:tcPr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Maxstat-derived optimal cutoff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GSE30219 (external)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OS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274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1.57 (1.17–2.10)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 xml:space="preserve">0.002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NA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NA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NA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NA</w:t>
            </w:r>
          </w:p>
        </w:tc>
        <w:tc>
          <w:tcPr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Maxstat-derived optimal cutoff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rFonts w:ascii="Arial" w:hAnsi="Arial"/>
          <w:b w:val="0"/>
          <w:i/>
          <w:iCs/>
          <w:sz w:val="21"/>
        </w:rPr>
        <w:t xml:space="preserve">Figure/Table consistency note: all metrics in this table are aligned with the final M12 model outputs used in Figure 5–7 and Supplementary Figure S6.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2026-04-07T19:03:10Z</dcterms:created>
  <dcterms:modified xsi:type="dcterms:W3CDTF">2026-04-07T19:03:10Z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