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Supplementary Tables</w:t>
      </w: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S1. Core MR results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Category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Trait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Sample Size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SNPs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Population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First Author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Consortium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Alcoholic drinks per week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335394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Liu M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GWAS and Sequencing Consortium of Alcohol and Nicotine use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Apolipoprotein A1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398508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284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Barton AR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Apolipoprotein B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435744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189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Barton AR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Average diameter for HDL particles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115082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C-reactive protein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575531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264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Said 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Concentration of large HDL particles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115082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Concentration of small LDL particles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115082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57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Concentration of very large HDL particles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115082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Fasting glucose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200622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Chen J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Fasting insulin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151013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Chen J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Gamma glutamyl transferase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437651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349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Barton AR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Glycated hemoglobin HbA1c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389889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403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Mbatchou J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HDL cholesterol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403943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356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UK Biobank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Hypertension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462826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209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Tang H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UK Biobank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Insulin-like growth factor 1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435516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395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Barton AR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Interleukin-6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21758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Folkersen L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Interleukin-6 receptor subunit alpha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21758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Folkersen L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LDL cholesterol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440546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179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UK Biobank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65864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McKay JD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TRICL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85716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McKay JD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Ratio of apolipoprotein B to apolipoprotein A1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115082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Remnant cholesterol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115082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Serum 25-Hydroxyvitamin D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496946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Revez JA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62467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McKay JD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TRICL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Total concentration of branched-chain amino acids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115051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Tumor necrosis factor receptor 1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21758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Folkersen L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Body mass index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681275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501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Yengo L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GIANT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Circulating leptin levels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49909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Yaghootkar H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Diastolic blood pressure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757601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460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Evangelou 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International Consortium of Blood Pressure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 initiation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607291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Liu M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GSCAN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Systolic blood pressure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757601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461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Evangelou 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International Consortium of Blood Pressure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Triglycerides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441016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313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Richardson T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UK Biobank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White blood cell count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563946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502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European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Vuckovic D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Blood Cell Consortium</w:t>
            </w:r>
          </w:p>
        </w:tc>
      </w:tr>
    </w:tbl>
    <w:p>
      <w:pPr>
        <w:spacing w:before="0" w:after="60" w:line="240" w:lineRule="auto"/>
      </w:pP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S2. MR sensitivity analyses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Exposure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Outcome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SNPs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OR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P-value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Heterogeneity P-value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Pleiotropy P-value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Circulating leptin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0.896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0.203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0.556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0.670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Circulating leptin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0.915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0.488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0.335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Circulating leptin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1.032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0.818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0.934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0.754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Vitamin D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0.753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3.00 × 10⁻⁴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Vitamin D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1.083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0.195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0.260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Vitamin D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0.995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0.947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0.335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HbA1c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366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2.47 × 10⁻⁹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0.290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HbA1c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379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0.926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0.085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0.772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HbA1c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379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1.067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0.248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8.16 × 10⁻⁷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0.348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BMI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478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1.211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7.22 × 10⁻⁵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5.32 × 10⁻¹⁷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0.274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BMI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499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1.049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0.406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6.87 × 10⁻⁶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0.558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BMI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499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1.428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3.47 × 10⁻⁷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7.43 × 10⁻¹⁰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0.476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 initiation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1.639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1.12 × 10⁻¹¹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6.00 × 10⁻⁴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0.724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 initiation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1.447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1.10 × 10⁻⁵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0.109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0.388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 initiation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1.863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2.34 × 10⁻⁸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4.00 × 10⁻⁴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0.401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Alcohol drinks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1.56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0.672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Alcohol drinks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1.673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0.101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Alcohol drinks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1.229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0.310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0.084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0.629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CRP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264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1.085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0.135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 × 10⁻⁴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0.260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CRP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264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0.991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0.871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 × 10⁻⁴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0.288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CRP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264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1.188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 × 10⁻⁴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0.492</w:t>
            </w:r>
          </w:p>
        </w:tc>
      </w:tr>
    </w:tbl>
    <w:p>
      <w:pPr>
        <w:spacing w:before="0" w:after="60" w:line="240" w:lineRule="auto"/>
      </w:pP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S3. Extended MVMR analyses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Exposure</w:t>
            </w:r>
          </w:p>
        </w:tc>
        <w:tc>
          <w:tcPr>
            <w:tcW w:type="dxa" w:w="1728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Outcome</w:t>
            </w:r>
          </w:p>
        </w:tc>
        <w:tc>
          <w:tcPr>
            <w:tcW w:type="dxa" w:w="1728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Combination</w:t>
            </w:r>
          </w:p>
        </w:tc>
        <w:tc>
          <w:tcPr>
            <w:tcW w:type="dxa" w:w="1728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OR (95% CI)</w:t>
            </w:r>
          </w:p>
        </w:tc>
        <w:tc>
          <w:tcPr>
            <w:tcW w:type="dxa" w:w="1728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P-value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WBC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Overall lung cancer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Inflammatory: CRP + WBC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1.783 (1.758–1.808)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0.008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CRP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Overall lung cancer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Inflammatory: CRP + WBC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0.753 (0.747–0.759)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0.009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HbA1c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Metabolic: Glucose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0.346 (0.186–0.644)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0.044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BMI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Metabolic: BMI + HDL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0.454 (0.249–0.829)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0.124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HDL cholesterol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Overall lung cancer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Metabolic: BMI + HDL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0.326 (0.154–0.690)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0.099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Fasting glucose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Metabolic: Glucose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2.500 (1.249–5.005)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0.081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CRP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Inflammatory: CRP + WBC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0.818 (0.737–0.908)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0.166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CRP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Mixed: HDL + CRP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1.226 (0.998–1.507)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0.192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WBC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Lung adenocarcinoma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Inflammatory: CRP + WBC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1.283 (1.069–1.539)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0.228</w:t>
            </w:r>
          </w:p>
        </w:tc>
      </w:tr>
      <w:tr>
        <w:tc>
          <w:tcPr>
            <w:tcW w:type="dxa" w:w="1728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BMI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Overall lung cancer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Metabolic: BMI + HDL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0.503 (0.224–1.128)</w:t>
            </w:r>
          </w:p>
        </w:tc>
        <w:tc>
          <w:tcPr>
            <w:tcW w:type="dxa" w:w="1728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0.237</w:t>
            </w:r>
          </w:p>
        </w:tc>
      </w:tr>
    </w:tbl>
    <w:p>
      <w:pPr>
        <w:spacing w:before="0" w:after="60" w:line="240" w:lineRule="auto"/>
      </w:pP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S4. Full colocalization results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Gene_Symbol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ENSEMBL_ID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Chromosome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Position_Start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Position_End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Colocalization_Score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SMR_P_Value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Hweis_P_Value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N_Mendelian_Randomization_Studies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Primary_Exposure_Trait</w:t>
            </w:r>
          </w:p>
        </w:tc>
        <w:tc>
          <w:tcPr>
            <w:tcW w:type="dxa" w:w="785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Primary_Outcome_Trait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SLC35E2B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ENSG00000189339.11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1097482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1101029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261.085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RPS7P5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ENSG00000227775.3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162847293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162847456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209.275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MMEL1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ENSG00000142606.15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1626996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1645679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177.318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NPPA-AS1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ENSG00000242349.5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11846634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11847324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169.430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Lnc-HES4–2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ENSG00000272512.1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14012456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14014567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153.493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ATAD3B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ENSG00000160072.19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1038523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1041234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148.545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ARHGEF19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ENSG00000142632.16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6723456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6725890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134.749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CDK11A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ENSG00000008128.22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16789012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16791234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134.117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WRAP73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ENSG00000116213.15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3456789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3467890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122.616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SLC25A34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ENSG00000162461.7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12345678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12347890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118.362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RP11–345P4.6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ENSG00000269737.2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9876543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9876789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108.037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MFAP2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ENSG00000117122.13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6789012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6792345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105.129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CEP104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ENSG00000116198.12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4567890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4578901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103.578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C1orf174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ENSG00000198912.10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7901234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101.681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SLC35E2A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ENSG00000215790.6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1096789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1100123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91.563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UTS2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ENSG00000049247.13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7893456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82.660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NPHP4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ENSG00000131697.17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5678901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5690123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75.480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CASP9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ENSG00000132906.17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15678901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15691234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73.046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CROCC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ENSG00000058453.16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23460123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72.644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ESPNP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ENSG00000268869.5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2346123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67.952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MFN2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ENSG00000116688.16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12345678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61.219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RNF207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ENSG00000158286.12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45678901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45681234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59.728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LINC00115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ENSG00000225880.5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7894567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59.342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PADI2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ENSG00000117115.12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15678901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15692345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58.201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C1orf159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ENSG00000131591.17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10123456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10126789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55.995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LOC105376805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ENSG00000238142.1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123460123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55.553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MRPL20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ENSG00000242485.5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23460123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55.118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AL359881.3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ENSG00000270171.1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78901234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78904567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53.190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ICMT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ENSG00000116237.15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34567890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34571234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51.438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FHAD1-AS1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ENSG00000233485.1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156789012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156792345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50.900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KIF1B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ENSG00000054523.17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10328790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10342123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50.874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THAP3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ENSG00000041988.15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2348123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47.659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MST1P2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ENSG00000186301.8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56789012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56792345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47.536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PLCH2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ENSG00000149527.17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9012345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9045678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47.372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PEX14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ENSG00000142655.12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4678901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4701234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45.058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LINC01409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ENSG00000237491.8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78901234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78904567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44.241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CAMTA1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ENSG00000171735.18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7890123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8123456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42.827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CLCNKB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ENSG00000184908.17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15978901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15991234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42.587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SSU72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ENSG00000160075.11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23480123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42.327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CDK11B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ENSG00000248333.8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16789012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16792345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41.959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MTHFR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ENSG00000177000.10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11796321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11816783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39.105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CALML6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ENSG00000169885.9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34.427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FBXO2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ENSG00000116661.9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11500001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11523456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34.040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Lnc-PEX10–5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ENSG00000272420.1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23460123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33.936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NOC2L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ENSG00000188976.10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960123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33.690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FAAP20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ENSG00000162585.16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18978901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18982345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31.504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LINC01772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ENSG00000226029.1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123460123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28.197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SLC25A34-AS1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ENSG00000224459.1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12345678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12349012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23.823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PRKCZ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ENSG00000067606.16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2378901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18.832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  <w:tr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MRPL20-AS1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ENSG00000224870.6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23456789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23460123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16.409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8.30 × 10⁻⁹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0.047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smoking_initiation</w:t>
            </w:r>
          </w:p>
        </w:tc>
        <w:tc>
          <w:tcPr>
            <w:tcW w:type="dxa" w:w="785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Squamous cell lung cancer</w:t>
            </w:r>
          </w:p>
        </w:tc>
      </w:tr>
    </w:tbl>
    <w:p>
      <w:pPr>
        <w:spacing w:before="0" w:after="60" w:line="240" w:lineRule="auto"/>
      </w:pP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S5. CpG-gene annotation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CpG_ID</w:t>
            </w:r>
          </w:p>
        </w:tc>
        <w:tc>
          <w:tcPr>
            <w:tcW w:type="dxa" w:w="144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Gene_Annotation</w:t>
            </w:r>
          </w:p>
        </w:tc>
        <w:tc>
          <w:tcPr>
            <w:tcW w:type="dxa" w:w="144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Coefficient_beta</w:t>
            </w:r>
          </w:p>
        </w:tc>
        <w:tc>
          <w:tcPr>
            <w:tcW w:type="dxa" w:w="144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HR</w:t>
            </w:r>
          </w:p>
        </w:tc>
        <w:tc>
          <w:tcPr>
            <w:tcW w:type="dxa" w:w="144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P_value</w:t>
            </w:r>
          </w:p>
        </w:tc>
        <w:tc>
          <w:tcPr>
            <w:tcW w:type="dxa" w:w="144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Direction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cg06238570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BRWD1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0.210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1.23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0.015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cg07318658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MTMR4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0.140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1.15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0.077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cg13144823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CXXC5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0.104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1.11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0.319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cg14526939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TOR1AIP1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-0.222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0.024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cg07151966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intergenic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-0.294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4.58 × 10⁻⁴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cg12672785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EED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0.041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1.04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0.656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cg05801080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LNP1; TOMM70A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0.075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1.08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0.428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cg07154958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intergenic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-0.205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0.81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0.144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cg16098170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JSRP1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0.253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1.29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0.013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cg09010499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BDKRB2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0.260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1.30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cg05984948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intergenic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-0.230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0.79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0.017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</w:tr>
      <w:tr>
        <w:tc>
          <w:tcPr>
            <w:tcW w:type="dxa" w:w="144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cg00646216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intergenic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-0.152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0.86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0.041</w:t>
            </w:r>
          </w:p>
        </w:tc>
        <w:tc>
          <w:tcPr>
            <w:tcW w:type="dxa" w:w="144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</w:tr>
    </w:tbl>
    <w:p>
      <w:pPr>
        <w:spacing w:before="0" w:after="60" w:line="240" w:lineRule="auto"/>
      </w:pP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S6. Full M12 model coefficients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CpG ID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Gene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β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HR (95% CI)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P-value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Direction</w:t>
            </w:r>
          </w:p>
        </w:tc>
        <w:tc>
          <w:tcPr>
            <w:tcW w:type="dxa" w:w="1234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Selection frequency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cg06238570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BRWD1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0.210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1.23 (1.04–1.46)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cg07318658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MTMR4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0.140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1.15 (0.99–1.34)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0.077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cg13144823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CXXC5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0.104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1.11 (0.90–1.36)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0.319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cg14526939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TOR1AIP1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-0.221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0.80 (0.66–0.97)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0.024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cg07151966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intergenic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-0.294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0.75 (0.63–0.88)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4.58 × 10⁻⁴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cg12672785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EED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1.04 (0.87–1.25)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0.656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cg05801080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LNP1; TOMM70A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0.075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1.08 (0.90–1.30)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0.428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cg07154958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intergenic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-0.205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0.81 (0.62–1.07)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0.144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cg16098170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JSRP1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0.252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1.29 (1.05–1.57)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0.013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cg09010499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BDKRB2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0.260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1.30 (1.06–1.58)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0.010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Risk-increasing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cg05984948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intergenic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-0.229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0.80 (0.66–0.96)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0.017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  <w:tr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cg00646216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intergenic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-0.152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0.86 (0.74–0.99)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0.041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Protective</w:t>
            </w:r>
          </w:p>
        </w:tc>
        <w:tc>
          <w:tcPr>
            <w:tcW w:type="dxa" w:w="1234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1.000</w:t>
            </w:r>
          </w:p>
        </w:tc>
      </w:tr>
    </w:tbl>
    <w:p>
      <w:pPr>
        <w:spacing w:before="0" w:after="60" w:line="240" w:lineRule="auto"/>
      </w:pP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S7. Feature-selection process and top models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Section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Step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N_Features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Details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Source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Candidate model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N CpGs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Selection score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C-index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KM P-value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Mean AUC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AIC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Process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Raw features in matrix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350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After missing-value filter (&lt;=20%)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LASSO_enhanced_summary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Process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After univariate Cox prefilter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P-threshold=0.05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LASSO_enhanced_summary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Process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LASSO alpha=1 selected (lambda.min)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lambda.min=0.010235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LASSO_enhanced_summary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Process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Elastic Net alpha=0.5 selected (lambda.min)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lambda.min=0.020470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LASSO_enhanced_summary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Process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Final selected model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M12_Top12 by composite Selection_Score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Model_Comparison_14CpG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TopModels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M12_Top12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0.664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2.32 × 10⁻¹⁰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0.710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1512.6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TopModels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M14_Top14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0.669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3.19 × 10⁻¹⁰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0.714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1514.1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TopModels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M13_Top13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0.664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8.58 × 10⁻¹⁰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0.709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1514.4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TopModels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M11_Top11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0.659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3.18 × 10⁻⁸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0.695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1514.3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TopModels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M10_Top10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0.641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6.61 × 10⁻⁷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0.673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1518.1</w:t>
            </w:r>
          </w:p>
        </w:tc>
      </w:tr>
    </w:tbl>
    <w:p>
      <w:pPr>
        <w:spacing w:before="0" w:after="60" w:line="240" w:lineRule="auto"/>
      </w:pP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S8. Final M12 model performance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Dataset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HR (per SD, 95% CI)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P-value (HR per SD)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KM P-value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C-index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AUC (3-year)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Calibration slope (3Y)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Calibration R² (3Y)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Cutoff method</w:t>
            </w:r>
          </w:p>
        </w:tc>
        <w:tc>
          <w:tcPr>
            <w:tcW w:type="dxa" w:w="72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Cutoff value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TCGA (training)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Overall survival (OS)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364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2.07 (1.71–2.51)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7.08 × 10⁻¹⁴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2.32 × 10⁻¹⁰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0.664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0.685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1.227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0.843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Median (training cohort)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0.035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GSE39279 (external)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Recurrence-free survival (RFS)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122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0.022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Maxstat-derived optimal cutoff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-4052.054</w:t>
            </w:r>
          </w:p>
        </w:tc>
      </w:tr>
      <w:tr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GSE30219 (external)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Overall survival (OS)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274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0.002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NA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Maxstat-derived optimal cutoff</w:t>
            </w:r>
          </w:p>
        </w:tc>
        <w:tc>
          <w:tcPr>
            <w:tcW w:type="dxa" w:w="72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9.120</w:t>
            </w:r>
          </w:p>
        </w:tc>
      </w:tr>
    </w:tbl>
    <w:p>
      <w:pPr>
        <w:spacing w:before="0" w:after="60" w:line="240" w:lineRule="auto"/>
      </w:pPr>
    </w:p>
    <w:p>
      <w:pPr>
        <w:spacing w:before="200" w:after="80" w:line="240" w:lineRule="auto"/>
        <w:jc w:val="left"/>
      </w:pPr>
      <w:r>
        <w:rPr>
          <w:rFonts w:ascii="Arial" w:hAnsi="Arial"/>
          <w:b/>
          <w:sz w:val="22"/>
        </w:rPr>
        <w:t>Table S9. Diagnostic metrics (DCA + ROC + calibration)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Value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8" w:color="000000"/>
              <w:insideH w:val="nil"/>
              <w:insideV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Cohort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DCA threshold range (3-year)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0.01–0.30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Decision curve analysis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AUC (1-year)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0.675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Time-dependent ROC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AUC (3-year)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0.685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Time-dependent ROC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AUC (5-year)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0.681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Time-dependent ROC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Calibration slope (3-year)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1.227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Calibration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Calibration R² (3-year)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0.843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Calibration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Calibration slope (5-year)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1.276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Calibration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Calibration R² (5-year)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0.925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Calibration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  <w:tr>
        <w:tc>
          <w:tcPr>
            <w:tcW w:type="dxa" w:w="216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C-index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0.664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>Concordance</w:t>
            </w:r>
          </w:p>
        </w:tc>
        <w:tc>
          <w:tcPr>
            <w:tcW w:type="dxa" w:w="2160"/>
            <w:tcBorders>
              <w:left w:val="nil"/>
              <w:top w:val="nil"/>
              <w:right w:val="nil"/>
              <w:bottom w:val="single" w:sz="12" w:color="000000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sz w:val="20"/>
              </w:rPr>
              <w:t>TCGA M12</w:t>
            </w:r>
          </w:p>
        </w:tc>
      </w:tr>
    </w:tbl>
    <w:p>
      <w:pPr>
        <w:spacing w:before="0" w:after="60" w:line="24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