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2.png" ContentType="image/png"/>
  <Override PartName="/word/media/rId47.png" ContentType="image/png"/>
  <Override PartName="/word/media/rId51.png" ContentType="image/png"/>
  <Override PartName="/word/media/rId56.png" ContentType="image/png"/>
  <Override PartName="/word/media/rId61.png" ContentType="image/png"/>
  <Override PartName="/word/media/rId65.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C1Q/SPP1 Macrophage Spatial Context as a Traceability Feature in Non-Small Cell Lung Cancer: A Public Multi-Cohort Cancer-Informatics Study</w:t>
      </w:r>
    </w:p>
    <w:p>
      <w:pPr>
        <w:pStyle w:val="Author"/>
      </w:pPr>
    </w:p>
    <w:p>
      <w:pPr>
        <w:pStyle w:val="Author"/>
      </w:pPr>
    </w:p>
    <w:p>
      <w:pPr>
        <w:pStyle w:val="Author"/>
      </w:pPr>
    </w:p>
    <w:p>
      <w:pPr>
        <w:pStyle w:val="Author"/>
      </w:pPr>
    </w:p>
    <w:bookmarkStart w:id="10" w:name="X43ba11093772ab39d1c6e7aae5420434ade6a43"/>
    <w:p>
      <w:pPr>
        <w:pStyle w:val="Heading1"/>
      </w:pPr>
      <w:r>
        <w:t xml:space="preserve">C1Q/SPP1 Macrophage Spatial Context as a Traceability Feature in Non-Small Cell Lung Cancer: A Public Multi-Cohort Cancer-Informatics Study</w:t>
      </w:r>
    </w:p>
    <w:p>
      <w:pPr>
        <w:pStyle w:val="FirstParagraph"/>
      </w:pPr>
      <w:r>
        <w:t xml:space="preserve">Xiongjie Li (1,*), Fengyue Zhang (2), Chaojia Luo (1), and Xuan Xu (1)</w:t>
      </w:r>
    </w:p>
    <w:p>
      <w:pPr>
        <w:pStyle w:val="BodyText"/>
      </w:pPr>
      <w:r>
        <w:t xml:space="preserve">1 Department of Cardiothoracic, Thyroid and Breast Surgery, Qianjiang Jianghan Oilfield General Hospital, No. T32, Guanghua Ankang Road, Qianjiang 433100, Hubei, China</w:t>
      </w:r>
    </w:p>
    <w:p>
      <w:pPr>
        <w:pStyle w:val="BodyText"/>
      </w:pPr>
      <w:r>
        <w:t xml:space="preserve">2 Department of Gastroenterology, Qianjiang Jianghan Oilfield General Hospital, Qianjiang 433100, Hubei, China</w:t>
      </w:r>
    </w:p>
    <w:p>
      <w:pPr>
        <w:pStyle w:val="BodyText"/>
      </w:pPr>
      <w:r>
        <w:t xml:space="preserve">*Correspondence: Xiongjie Li, MD; Department of Cardiothoracic, Thyroid and Breast Surgery, Qianjiang Jianghan Oilfield General Hospital, Qianjiang 433100, Hubei, China; Email: surobert518@163.com; ORCID: 0009-0005-9507-6829</w:t>
      </w:r>
    </w:p>
    <w:bookmarkStart w:id="9" w:name="abstract"/>
    <w:p>
      <w:pPr>
        <w:pStyle w:val="Heading2"/>
      </w:pPr>
      <w:r>
        <w:t xml:space="preserve">Abstract</w:t>
      </w:r>
    </w:p>
    <w:p>
      <w:pPr>
        <w:pStyle w:val="FirstParagraph"/>
      </w:pPr>
      <w:r>
        <w:rPr>
          <w:b/>
          <w:bCs/>
        </w:rPr>
        <w:t xml:space="preserve">Objectives:</w:t>
      </w:r>
      <w:r>
        <w:t xml:space="preserve"> </w:t>
      </w:r>
      <w:r>
        <w:t xml:space="preserve">Public cancer-informatics datasets can test whether immune programs detected in bulk tumor data remain traceable across spatial, genetic, and clinical contexts. We asked whether C1Q/SPP1 is a macrophage-context traceability feature in non-small cell lung cancer (NSCLC). The objective was evidence synthesis and hypothesis prioritization, not clinical classifier development, immunotherapy selection, causal proof, or therapeutic targeting.</w:t>
      </w:r>
    </w:p>
    <w:p>
      <w:pPr>
        <w:pStyle w:val="BodyText"/>
      </w:pPr>
      <w:r>
        <w:rPr>
          <w:b/>
          <w:bCs/>
        </w:rPr>
        <w:t xml:space="preserve">Methods:</w:t>
      </w:r>
      <w:r>
        <w:t xml:space="preserve"> </w:t>
      </w:r>
      <w:r>
        <w:t xml:space="preserve">We analyzed TCGA NSCLC for discovery, feature stability, and internal score-behavior assessment, and GSE31210 for external prognostic traceability among patients with complete follow-up. Two small NSCLC immune-checkpoint-blockade (ICB) cohorts and one melanoma ICB cohort were analyzed separately as exploratory response-association datasets. Spatial context was assessed using 10x Visium and NanoString CosMx SMI data, with interpretation anchored to patient, section, or sample-contrast units rather than spot or cell counts. Mendelian-randomization analyses were used only for expression-linked gene prioritization. Harmonized PD-L1, tumor mutational burden, and treatment metadata were unavailable across cohorts; incremental clinical utility was not claimed.</w:t>
      </w:r>
    </w:p>
    <w:p>
      <w:pPr>
        <w:pStyle w:val="BodyText"/>
      </w:pPr>
      <w:r>
        <w:rPr>
          <w:b/>
          <w:bCs/>
        </w:rPr>
        <w:t xml:space="preserve">Results:</w:t>
      </w:r>
      <w:r>
        <w:t xml:space="preserve"> </w:t>
      </w:r>
      <w:r>
        <w:t xml:space="preserve">Nested cross-validation identified a stable 91-feature set enriched for immune and macrophage-context signals. C1QA, C1QB, and C1QC showed section-level spatial autocorrelation in patient-limited spatial datasets (Moran’s I approximately 0.35-0.39), whereas SPP1 showed stronger spatial clustering (Moran’s I = 0.712). Retrospective algorithm benchmarking showed detectable but modest prognostic score behavior in TCGA and attenuated external traceability in GSE31210 (AUC = 0.650; C-index = 0.629). ICB cohorts showed directional response-associated patterns, but small NSCLC sample sizes and inclusion of a melanoma exploratory cohort precluded validation-level claims.</w:t>
      </w:r>
    </w:p>
    <w:p>
      <w:pPr>
        <w:pStyle w:val="BodyText"/>
      </w:pPr>
      <w:r>
        <w:rPr>
          <w:b/>
          <w:bCs/>
        </w:rPr>
        <w:t xml:space="preserve">Conclusions:</w:t>
      </w:r>
      <w:r>
        <w:t xml:space="preserve"> </w:t>
      </w:r>
      <w:r>
        <w:t xml:space="preserve">C1Q/SPP1 is best interpreted as a traceable macrophage-spatial context in public NSCLC resources and a candidate axis for follow-up study. The findings are hypothesis-generating, not a validated clinical biomarker, treatment-selection rule, causal mechanism, or therapeutic-target claim. Prospective, NSCLC-specific, spatially resolved evaluation is required before clinical implementation can be considered.</w:t>
      </w:r>
    </w:p>
    <w:p>
      <w:pPr>
        <w:pStyle w:val="BodyText"/>
      </w:pPr>
      <w:r>
        <w:rPr>
          <w:b/>
          <w:bCs/>
        </w:rPr>
        <w:t xml:space="preserve">Keywords:</w:t>
      </w:r>
      <w:r>
        <w:t xml:space="preserve"> </w:t>
      </w:r>
      <w:r>
        <w:t xml:space="preserve">Non-small cell lung cancer; Cancer informatics; C1Q; SPP1; macrophage context; spatial transcriptomics; reproducibility; traceability feature</w:t>
      </w:r>
    </w:p>
    <w:bookmarkEnd w:id="9"/>
    <w:bookmarkEnd w:id="10"/>
    <w:bookmarkStart w:id="11" w:name="sec:intro"/>
    <w:p>
      <w:pPr>
        <w:pStyle w:val="Heading1"/>
      </w:pPr>
      <w:r>
        <w:t xml:space="preserve">Introduction</w:t>
      </w:r>
    </w:p>
    <w:p>
      <w:pPr>
        <w:pStyle w:val="FirstParagraph"/>
      </w:pPr>
      <w:r>
        <w:t xml:space="preserve">Non-small cell lung cancer (NSCLC) remains a major cause of cancer mortality, and immune checkpoint blockade has improved outcomes for a subset of patients</w:t>
      </w:r>
      <w:r>
        <w:t xml:space="preserve"> </w:t>
      </w:r>
      <w:r>
        <w:t xml:space="preserve">. However, PD-L1 expression, tumor mutational burden, and bulk immune-expression summaries do not fully capture the spatial and cellular organization of the tumor microenvironment (TME)</w:t>
      </w:r>
      <w:r>
        <w:t xml:space="preserve"> </w:t>
      </w:r>
      <w:r>
        <w:t xml:space="preserve">. A central cancer-informatics problem is therefore not simply to build another retrospective classifier, but to determine whether candidate immune signals remain interpretable when traced across independent data types. Spatial transcriptomics and single-cell technologies now make it possible to examine whether immune programs visible in bulk data also map to spatial contexts that can be traced across available datasets</w:t>
      </w:r>
      <w:r>
        <w:t xml:space="preserve"> </w:t>
      </w:r>
      <w:r>
        <w:t xml:space="preserve">.</w:t>
      </w:r>
    </w:p>
    <w:p>
      <w:pPr>
        <w:pStyle w:val="BodyText"/>
      </w:pPr>
      <w:r>
        <w:t xml:space="preserve">C1q, encoded by</w:t>
      </w:r>
      <w:r>
        <w:t xml:space="preserve"> </w:t>
      </w:r>
      <w:r>
        <w:rPr>
          <w:i/>
          <w:iCs/>
        </w:rPr>
        <w:t xml:space="preserve">C1QA</w:t>
      </w:r>
      <w:r>
        <w:t xml:space="preserve">,</w:t>
      </w:r>
      <w:r>
        <w:t xml:space="preserve"> </w:t>
      </w:r>
      <w:r>
        <w:rPr>
          <w:i/>
          <w:iCs/>
        </w:rPr>
        <w:t xml:space="preserve">C1QB</w:t>
      </w:r>
      <w:r>
        <w:t xml:space="preserve">, and</w:t>
      </w:r>
      <w:r>
        <w:t xml:space="preserve"> </w:t>
      </w:r>
      <w:r>
        <w:rPr>
          <w:i/>
          <w:iCs/>
        </w:rPr>
        <w:t xml:space="preserve">C1QC</w:t>
      </w:r>
      <w:r>
        <w:t xml:space="preserve">, is produced largely by macrophage and dendritic-cell lineages in the TME. Prior work suggests that complement-associated macrophage states may accompany either immune activation or tumor-promoting inflammation, depending on context.</w:t>
      </w:r>
      <w:r>
        <w:t xml:space="preserve"> </w:t>
      </w:r>
      <w:r>
        <w:rPr>
          <w:i/>
          <w:iCs/>
        </w:rPr>
        <w:t xml:space="preserve">SPP1</w:t>
      </w:r>
      <w:r>
        <w:t xml:space="preserve">-positive macrophage programs, by contrast, are often linked to stromal remodeling and immune exclusion. These observations motivate a narrower and more testable question: can the C1Q/SPP1 macrophage axis be traced across public NSCLC transcriptomic, spatial, and clinical resources without overstating clinical or mechanistic certainty?</w:t>
      </w:r>
    </w:p>
    <w:p>
      <w:pPr>
        <w:pStyle w:val="BodyText"/>
      </w:pPr>
      <w:r>
        <w:t xml:space="preserve">The present study is intentionally framed as a public cancer-informatics evidence synthesis. Here, a traceability feature denotes a biologically interpretable signal that can be followed across public datasets and analytic layers without being promoted to a clinical assay. The term is an interpretation boundary, not a substitute for validation: it does not imply a locked diagnostic test, treatment-selection rule, clinical-use algorithm, or definitive mechanism. Instead, we evaluate whether C1Q/SPP1 links macrophage context, spatial organization, retrospective survival associations, and exploratory immunotherapy-response signals. This conservative framing separates data-supported observations from hypotheses that require prospective evaluation and experimental testing.</w:t>
      </w:r>
    </w:p>
    <w:bookmarkEnd w:id="11"/>
    <w:bookmarkStart w:id="39" w:name="sec:methods"/>
    <w:p>
      <w:pPr>
        <w:pStyle w:val="Heading1"/>
      </w:pPr>
      <w:r>
        <w:t xml:space="preserve">Methods</w:t>
      </w:r>
    </w:p>
    <w:bookmarkStart w:id="18" w:name="subsec:study_design"/>
    <w:p>
      <w:pPr>
        <w:pStyle w:val="Heading2"/>
      </w:pPr>
      <w:r>
        <w:t xml:space="preserve">Study Design and Evidence Hierarchy</w:t>
      </w:r>
    </w:p>
    <w:p>
      <w:pPr>
        <w:pStyle w:val="FirstParagraph"/>
      </w:pPr>
      <w:r>
        <w:t xml:space="preserve">This study used a staged, retrospective public-data design</w:t>
      </w:r>
      <w:r>
        <w:t xml:space="preserve"> </w:t>
      </w:r>
      <w:r>
        <w:t xml:space="preserve">. The evidence hierarchy was defined before interpretation: (1) TCGA NSCLC was used for discovery, feature stability, and internal score-behavior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w:t>
      </w:r>
      <w:r>
        <w:t xml:space="preserve"> </w:t>
      </w:r>
      <w:hyperlink w:anchor="fig:1">
        <w:r>
          <w:rPr>
            <w:rStyle w:val="Hyperlink"/>
          </w:rPr>
          <w:t xml:space="preserve">1</w:t>
        </w:r>
      </w:hyperlink>
      <w:r>
        <w:t xml:space="preserve">). No external cohort was used to tune the feature set, select a clinical threshold, or upgrade the analysis to prospective validation.</w:t>
      </w:r>
    </w:p>
    <w:bookmarkStart w:id="15" w:name="fig:1"/>
    <w:p>
      <w:pPr>
        <w:pStyle w:val="CaptionedFigure"/>
      </w:pPr>
      <w:r>
        <w:drawing>
          <wp:inline>
            <wp:extent cx="5067300" cy="3648456"/>
            <wp:effectExtent b="0" l="0" r="0" t="0"/>
            <wp:docPr descr="" title="" id="13" name="Picture"/>
            <a:graphic>
              <a:graphicData uri="http://schemas.openxmlformats.org/drawingml/2006/picture">
                <pic:pic>
                  <pic:nvPicPr>
                    <pic:cNvPr descr="../figures/docx_png/Figure1.png" id="14" name="Picture"/>
                    <pic:cNvPicPr>
                      <a:picLocks noChangeArrowheads="1" noChangeAspect="1"/>
                    </pic:cNvPicPr>
                  </pic:nvPicPr>
                  <pic:blipFill>
                    <a:blip r:embed="rId12"/>
                    <a:stretch>
                      <a:fillRect/>
                    </a:stretch>
                  </pic:blipFill>
                  <pic:spPr bwMode="auto">
                    <a:xfrm>
                      <a:off x="0" y="0"/>
                      <a:ext cx="5067300" cy="3648456"/>
                    </a:xfrm>
                    <a:prstGeom prst="rect">
                      <a:avLst/>
                    </a:prstGeom>
                    <a:noFill/>
                    <a:ln w="9525">
                      <a:noFill/>
                      <a:headEnd/>
                      <a:tailEnd/>
                    </a:ln>
                  </pic:spPr>
                </pic:pic>
              </a:graphicData>
            </a:graphic>
          </wp:inline>
        </w:drawing>
      </w:r>
    </w:p>
    <w:p>
      <w:pPr>
        <w:pStyle w:val="ImageCaption"/>
      </w:pPr>
      <w:r>
        <w:rPr>
          <w:b/>
          <w:bCs/>
        </w:rPr>
        <w:t xml:space="preserve">Figure 1. Integrated study design and evidence overview.</w:t>
      </w:r>
      <w:r>
        <w:t xml:space="preserve"> </w:t>
      </w:r>
      <w:r>
        <w:rPr>
          <w:b/>
          <w:bCs/>
        </w:rPr>
        <w:t xml:space="preserve">Panel A, Analytical workflow:</w:t>
      </w:r>
      <w:r>
        <w:t xml:space="preserve"> </w:t>
      </w:r>
      <w:r>
        <w:t xml:space="preserve">TCGA/GEO data acquisition, feature selection, MR-based prioritization, spatial transcriptomics, retrospective score-behavior assessment, and external traceability.</w:t>
      </w:r>
      <w:r>
        <w:t xml:space="preserve"> </w:t>
      </w:r>
      <w:r>
        <w:rPr>
          <w:b/>
          <w:bCs/>
        </w:rPr>
        <w:t xml:space="preserve">Panel B, Multi-layer evidence framework:</w:t>
      </w:r>
      <w:r>
        <w:t xml:space="preserve"> </w:t>
      </w:r>
      <w:r>
        <w:t xml:space="preserve">genetic, spatial, computational, and clinical evidence layers are interpreted as complementary support rather than a directed causal sequence.</w:t>
      </w:r>
      <w:r>
        <w:t xml:space="preserve"> </w:t>
      </w:r>
      <w:r>
        <w:rPr>
          <w:b/>
          <w:bCs/>
        </w:rPr>
        <w:t xml:space="preserve">Panel C, Conceptual spatial-context representation:</w:t>
      </w:r>
      <w:r>
        <w:t xml:space="preserve"> </w:t>
      </w:r>
      <w:r>
        <w:t xml:space="preserve">C1Q-enriched regions, SPP1-enriched regions, and CD8-marker context are shown as a schematic guide to the spatial analyses.</w:t>
      </w:r>
    </w:p>
    <w:bookmarkEnd w:id="15"/>
    <w:bookmarkStart w:id="16" w:name="conservative-interpretation-rules"/>
    <w:p>
      <w:pPr>
        <w:pStyle w:val="Heading3"/>
      </w:pPr>
      <w:r>
        <w:t xml:space="preserve">Conservative Interpretation Rules</w:t>
      </w:r>
    </w:p>
    <w:p>
      <w:pPr>
        <w:pStyle w:val="FirstParagraph"/>
      </w:pPr>
      <w:r>
        <w:t xml:space="preserve">The final interpretation followed five reporting rules. First, external survival cohorts were used to assess traceability of score behavior, not to claim clinical validation. Second, ICB-treated cohorts were analyzed as response-association context only, because the NSCLC cohorts were small and the melanoma cohort was not disease matched. Third, spot- and cell-level spatial measurements were treated as within-sample observations; patient, section, or paired-sample contrasts were the main interpretive units. Fourth, MR was used as an expression-linked prioritization layer under instrumental-variable assumptions and was not treated as proof of spatial mechanism, therapeutic actionability, or treatment response. Fifth, because PD-L1, TMB, ctDNA, TCR, and treatment metadata were not harmonized across the public cohorts, the study does not claim incremental clinical utility over standard biomarkers, stage-only models, clinical-only models, or published immune signatures.</w:t>
      </w:r>
    </w:p>
    <w:bookmarkEnd w:id="16"/>
    <w:bookmarkStart w:id="17" w:name="data-acquisition-and-quality-control"/>
    <w:p>
      <w:pPr>
        <w:pStyle w:val="Heading3"/>
      </w:pPr>
      <w:r>
        <w:t xml:space="preserve">Data Acquisition and Quality Control</w:t>
      </w:r>
    </w:p>
    <w:p>
      <w:pPr>
        <w:pStyle w:val="FirstParagraph"/>
      </w:pPr>
      <w:r>
        <w:rPr>
          <w:b/>
          <w:bCs/>
        </w:rPr>
        <w:t xml:space="preserve">Discovery Cohort (TCGA):</w:t>
      </w:r>
      <w:r>
        <w:t xml:space="preserve"> </w:t>
      </w:r>
      <w:r>
        <w:t xml:space="preserve">TCGA LUAD and LUSC transcriptomic and clinical data were retrieved from the NCI Genomic Data Commons</w:t>
      </w:r>
      <w:r>
        <w:t xml:space="preserve"> </w:t>
      </w:r>
      <w: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pPr>
      <w:r>
        <w:rPr>
          <w:b/>
          <w:bCs/>
        </w:rPr>
        <w:t xml:space="preserve">Spatial Transcriptomics Data:</w:t>
      </w:r>
      <w:r>
        <w:t xml:space="preserve"> </w:t>
      </w:r>
      <w:r>
        <w:t xml:space="preserve">For spatially resolved context analysis, we incorporated 10x Genomics Visium and Nanostring CosMx SMI datasets. Quality control, normalization, and platform-specific processing are described in the Supplementary Methods and source-data manifest. Spatial inference was deliberately anchored to patient, section, or sample-contrast units; spots and cells were treated as measurement units within those samples rather than as independent biological replicates.</w:t>
      </w:r>
    </w:p>
    <w:p>
      <w:pPr>
        <w:numPr>
          <w:ilvl w:val="0"/>
          <w:numId w:val="1001"/>
        </w:numPr>
      </w:pPr>
      <w:r>
        <w:rPr>
          <w:b/>
          <w:bCs/>
        </w:rPr>
        <w:t xml:space="preserve">10x Visium:</w:t>
      </w:r>
      <w:r>
        <w:t xml:space="preserve"> </w:t>
      </w:r>
      <w:r>
        <w:t xml:space="preserve">Included 8 tissue sections from 1 patient (Supplementary Table S12), utilizing a 55</w:t>
      </w:r>
      <w:r>
        <w:t xml:space="preserve"> </w:t>
      </w:r>
      <m:oMath>
        <m:r>
          <m:t>μ</m:t>
        </m:r>
      </m:oMath>
      <w:r>
        <w:t xml:space="preserve">m spot diameter for tissue-level spatial mapping.</w:t>
      </w:r>
    </w:p>
    <w:p>
      <w:pPr>
        <w:numPr>
          <w:ilvl w:val="0"/>
          <w:numId w:val="1001"/>
        </w:numPr>
      </w:pPr>
      <w:r>
        <w:rPr>
          <w:b/>
          <w:bCs/>
        </w:rPr>
        <w:t xml:space="preserve">CosMx SMI:</w:t>
      </w:r>
      <w:r>
        <w:t xml:space="preserve"> </w:t>
      </w:r>
      <w: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pPr>
      <w:r>
        <w:rPr>
          <w:b/>
          <w:bCs/>
        </w:rPr>
        <w:t xml:space="preserve">External Cohorts:</w:t>
      </w:r>
      <w:r>
        <w:t xml:space="preserve"> </w:t>
      </w:r>
      <w:r>
        <w:t xml:space="preserve">Clinical and expression data were retrieved from GEO. GSE31210 contained 226 lung adenocarcinoma samples after exclusion of non-tumor controls and 178 patients with complete follow-up for survival analysis. GSE31210 was used as an external traceability cohort and not as a locked prospective validation set. GSE126044 and GSE135222 were treated as small NSCLC ICB response-association cohorts, whereas GSE91061 was treated as a melanoma exploratory cohort only. These datasets were not pooled as confirmatory NSCLC immunotherapy evidence and were not used for algorithm selection or threshold optimization.</w:t>
      </w:r>
    </w:p>
    <w:bookmarkEnd w:id="17"/>
    <w:bookmarkEnd w:id="18"/>
    <w:bookmarkStart w:id="19" w:name="subsec:framework"/>
    <w:p>
      <w:pPr>
        <w:pStyle w:val="Heading2"/>
      </w:pPr>
      <w:r>
        <w:t xml:space="preserve">C1Q/SPP1 Traceability Framework</w:t>
      </w:r>
    </w:p>
    <w:p>
      <w:pPr>
        <w:pStyle w:val="FirstParagraph"/>
      </w:pPr>
      <w:r>
        <w:t xml:space="preserve">We implemented a multi-stage traceability framework to evaluate whether C1Q/SPP1 macrophage context is traceable across data layers:</w:t>
      </w:r>
    </w:p>
    <w:p>
      <w:pPr>
        <w:pStyle w:val="BodyText"/>
      </w:pPr>
      <w:r>
        <w:rPr>
          <w:b/>
          <w:bCs/>
        </w:rPr>
        <w:t xml:space="preserve">Phase 1: MR-based gene prioritization:</w:t>
      </w:r>
      <w:r>
        <w:t xml:space="preserve"> </w:t>
      </w:r>
      <w:r>
        <w:t xml:space="preserve">Mendelian randomization (MR) was used to prioritize genes with expression-linked immune-context associations</w:t>
      </w:r>
      <w:r>
        <w:t xml:space="preserve"> </w:t>
      </w:r>
      <w:r>
        <w:t xml:space="preserve">, not to prove mechanism or treatment relevance. We used eQTL data from eQTLGen</w:t>
      </w:r>
      <w:r>
        <w:t xml:space="preserve"> </w:t>
      </w:r>
      <w:r>
        <w:t xml:space="preserve"> </w:t>
      </w:r>
      <w:r>
        <w:t xml:space="preserve">and GTEx v8 with TwoSampleMR (v0.5.6), and inspected sensitivity diagnostics before assigning confidence.</w:t>
      </w:r>
    </w:p>
    <w:p>
      <w:pPr>
        <w:pStyle w:val="BodyText"/>
      </w:pPr>
      <w:r>
        <w:rPr>
          <w:b/>
          <w:bCs/>
        </w:rPr>
        <w:t xml:space="preserve">Phase 2: Retrospective score-behavior assessment:</w:t>
      </w:r>
      <w:r>
        <w:t xml:space="preserve"> </w:t>
      </w:r>
      <w:r>
        <w:t xml:space="preserve">Machine-learning algorithms were benchmarked to assess whether the stable feature set carried outcome-linked signal. Apparent training-set metrics were retained only for audit transparency; interpretation focused on internal cross-validation, held-out score behavior, and external traceability. The resulting models were not interpreted as clinical tools and no fixed clinical cutoff is proposed.</w:t>
      </w:r>
    </w:p>
    <w:p>
      <w:pPr>
        <w:pStyle w:val="BodyText"/>
      </w:pPr>
      <w:r>
        <w:rPr>
          <w:b/>
          <w:bCs/>
        </w:rPr>
        <w:t xml:space="preserve">Phase 3: Spatial context characterization:</w:t>
      </w:r>
      <w:r>
        <w:t xml:space="preserve"> </w:t>
      </w:r>
      <w:r>
        <w:t xml:space="preserve">A C1Q/SPP1-centered scoring approach was used to evaluate macrophage-associated spatial organization and CD8-marker context in Visium and CosMx data. Spatial outputs were interpreted as context summaries rather than direct cell-cell signaling, causal recruitment, or patient-level spatial-classifier evidence.</w:t>
      </w:r>
    </w:p>
    <w:p>
      <w:pPr>
        <w:pStyle w:val="BodyText"/>
      </w:pPr>
      <w:r>
        <w:t xml:space="preserve">These interpretation boundaries are summarized in Table </w:t>
      </w:r>
      <w:hyperlink w:anchor="tab:evidence_boundary">
        <w:r>
          <w:rPr>
            <w:rStyle w:val="Hyperlink"/>
          </w:rPr>
          <w:t xml:space="preserve">[tab:evidence_boundary]</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Claim domain</w:t>
            </w:r>
          </w:p>
        </w:tc>
        <w:tc>
          <w:tcPr/>
          <w:p>
            <w:pPr>
              <w:pStyle w:val="Compact"/>
              <w:jc w:val="left"/>
            </w:pPr>
            <w:r>
              <w:t xml:space="preserve">Supported interpretation</w:t>
            </w:r>
          </w:p>
        </w:tc>
        <w:tc>
          <w:tcPr/>
          <w:p>
            <w:pPr>
              <w:pStyle w:val="Compact"/>
              <w:jc w:val="left"/>
            </w:pPr>
            <w:r>
              <w:t xml:space="preserve">Boundary</w:t>
            </w:r>
          </w:p>
        </w:tc>
      </w:tr>
      <w:tr>
        <w:tc>
          <w:tcPr/>
          <w:p>
            <w:pPr>
              <w:pStyle w:val="Compact"/>
              <w:jc w:val="left"/>
            </w:pPr>
            <w:r>
              <w:t xml:space="preserve">C1Q/SPP1 macrophage context</w:t>
            </w:r>
          </w:p>
        </w:tc>
        <w:tc>
          <w:tcPr/>
          <w:p>
            <w:pPr>
              <w:pStyle w:val="Compact"/>
              <w:jc w:val="left"/>
            </w:pPr>
            <w:r>
              <w:t xml:space="preserve">Traceable across public expression datasets as a macrophage-context feature</w:t>
            </w:r>
          </w:p>
        </w:tc>
        <w:tc>
          <w:tcPr/>
          <w:p>
            <w:pPr>
              <w:pStyle w:val="Compact"/>
              <w:jc w:val="left"/>
            </w:pPr>
            <w:r>
              <w:t xml:space="preserve">Not a diagnostic assay or tumor-specific marker</w:t>
            </w:r>
          </w:p>
        </w:tc>
      </w:tr>
      <w:tr>
        <w:tc>
          <w:tcPr/>
          <w:p>
            <w:pPr>
              <w:pStyle w:val="Compact"/>
              <w:jc w:val="left"/>
            </w:pPr>
            <w:r>
              <w:t xml:space="preserve">Spatial organization</w:t>
            </w:r>
          </w:p>
        </w:tc>
        <w:tc>
          <w:tcPr/>
          <w:p>
            <w:pPr>
              <w:pStyle w:val="Compact"/>
              <w:jc w:val="left"/>
            </w:pPr>
            <w:r>
              <w:t xml:space="preserve">C1Q and SPP1 show non-random spatial patterns in available Visium and CosMx sections</w:t>
            </w:r>
          </w:p>
        </w:tc>
        <w:tc>
          <w:tcPr/>
          <w:p>
            <w:pPr>
              <w:pStyle w:val="Compact"/>
              <w:jc w:val="left"/>
            </w:pPr>
            <w:r>
              <w:t xml:space="preserve">Spots/cells are measurement units, not independent biological replicates; patient-level extrapolation remains limited</w:t>
            </w:r>
          </w:p>
        </w:tc>
      </w:tr>
      <w:tr>
        <w:tc>
          <w:tcPr/>
          <w:p>
            <w:pPr>
              <w:pStyle w:val="Compact"/>
              <w:jc w:val="left"/>
            </w:pPr>
            <w:r>
              <w:t xml:space="preserve">MR-based prioritization</w:t>
            </w:r>
          </w:p>
        </w:tc>
        <w:tc>
          <w:tcPr/>
          <w:p>
            <w:pPr>
              <w:pStyle w:val="Compact"/>
              <w:jc w:val="left"/>
            </w:pPr>
            <w:r>
              <w:t xml:space="preserve">Highlights candidates for follow-up under instrumental-variable assumptions</w:t>
            </w:r>
          </w:p>
        </w:tc>
        <w:tc>
          <w:tcPr/>
          <w:p>
            <w:pPr>
              <w:pStyle w:val="Compact"/>
              <w:jc w:val="left"/>
            </w:pPr>
            <w:r>
              <w:t xml:space="preserve">Not causal proof, target validation, or evidence of therapeutic actionability</w:t>
            </w:r>
          </w:p>
        </w:tc>
      </w:tr>
      <w:tr>
        <w:tc>
          <w:tcPr/>
          <w:p>
            <w:pPr>
              <w:pStyle w:val="Compact"/>
              <w:jc w:val="left"/>
            </w:pPr>
            <w:r>
              <w:t xml:space="preserve">Retrospective outcome score</w:t>
            </w:r>
          </w:p>
        </w:tc>
        <w:tc>
          <w:tcPr/>
          <w:p>
            <w:pPr>
              <w:pStyle w:val="Compact"/>
              <w:jc w:val="left"/>
            </w:pPr>
            <w:r>
              <w:t xml:space="preserve">The feature set carries modest outcome-linked signal and can be used descriptively</w:t>
            </w:r>
          </w:p>
        </w:tc>
        <w:tc>
          <w:tcPr/>
          <w:p>
            <w:pPr>
              <w:pStyle w:val="Compact"/>
              <w:jc w:val="left"/>
            </w:pPr>
            <w:r>
              <w:t xml:space="preserve">No locked clinical cutoff, no prospective test, and no treatment-selection claim</w:t>
            </w:r>
          </w:p>
        </w:tc>
      </w:tr>
      <w:tr>
        <w:tc>
          <w:tcPr/>
          <w:p>
            <w:pPr>
              <w:pStyle w:val="Compact"/>
              <w:jc w:val="left"/>
            </w:pPr>
            <w:r>
              <w:t xml:space="preserve">ICB response association</w:t>
            </w:r>
          </w:p>
        </w:tc>
        <w:tc>
          <w:tcPr/>
          <w:p>
            <w:pPr>
              <w:pStyle w:val="Compact"/>
              <w:jc w:val="left"/>
            </w:pPr>
            <w:r>
              <w:t xml:space="preserve">Directional response-associated separation is observed in small cohorts</w:t>
            </w:r>
          </w:p>
        </w:tc>
        <w:tc>
          <w:tcPr/>
          <w:p>
            <w:pPr>
              <w:pStyle w:val="Compact"/>
              <w:jc w:val="left"/>
            </w:pPr>
            <w:r>
              <w:t xml:space="preserve">Not NSCLC ICB confirmation and not evidence of superiority over PD-L1, TMB, or clinical baselines</w:t>
            </w:r>
          </w:p>
        </w:tc>
      </w:tr>
      <w:tr>
        <w:tc>
          <w:tcPr/>
          <w:p>
            <w:pPr>
              <w:pStyle w:val="Compact"/>
            </w:pPr>
          </w:p>
        </w:tc>
        <w:tc>
          <w:tcPr/>
          <w:p>
            <w:pPr>
              <w:pStyle w:val="Compact"/>
            </w:pPr>
          </w:p>
        </w:tc>
        <w:tc>
          <w:tcPr/>
          <w:p>
            <w:pPr>
              <w:pStyle w:val="Compact"/>
            </w:pPr>
          </w:p>
        </w:tc>
      </w:tr>
    </w:tbl>
    <w:bookmarkEnd w:id="19"/>
    <w:bookmarkStart w:id="20" w:name="subsec:neighborhood"/>
    <w:p>
      <w:pPr>
        <w:pStyle w:val="Heading2"/>
      </w:pPr>
      <w:r>
        <w:t xml:space="preserve">Neighborhood Enrichment Analysis</w:t>
      </w:r>
    </w:p>
    <w:p>
      <w:pPr>
        <w:pStyle w:val="FirstParagraph"/>
      </w:pPr>
      <w:r>
        <w:t xml:space="preserve">Neighborhood enrichment analysis was performed in CosMx SMI data to describe local co-occurrence between C1Q-associated macrophage states and CD8-marker-positive contexts. A 50</w:t>
      </w:r>
      <w:r>
        <w:t xml:space="preserve"> </w:t>
      </w:r>
      <m:oMath>
        <m:r>
          <m:t>μ</m:t>
        </m:r>
      </m:oMath>
      <w: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20"/>
    <w:bookmarkStart w:id="23" w:name="subsec:preprocessing"/>
    <w:p>
      <w:pPr>
        <w:pStyle w:val="Heading2"/>
      </w:pPr>
      <w:r>
        <w:t xml:space="preserve">Data Preprocessing and Statistical Analysis</w:t>
      </w:r>
    </w:p>
    <w:bookmarkStart w:id="21" w:name="transcriptome-data-preprocessing"/>
    <w:p>
      <w:pPr>
        <w:pStyle w:val="Heading3"/>
      </w:pPr>
      <w:r>
        <w:t xml:space="preserve">Transcriptome Data Preprocessing</w:t>
      </w:r>
    </w:p>
    <w:p>
      <w:pPr>
        <w:pStyle w:val="FirstParagraph"/>
      </w:pPr>
      <w: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21"/>
    <w:bookmarkStart w:id="22" w:name="statistical-analysis"/>
    <w:p>
      <w:pPr>
        <w:pStyle w:val="Heading3"/>
      </w:pPr>
      <w:r>
        <w:t xml:space="preserve">Statistical Analysis</w:t>
      </w:r>
    </w:p>
    <w:p>
      <w:pPr>
        <w:pStyle w:val="FirstParagraph"/>
      </w:pPr>
      <w:r>
        <w:t xml:space="preserve">All statistical analyses were performed using R and Python. Python-based data manipulation and visualization used Pandas</w:t>
      </w:r>
      <w:r>
        <w:t xml:space="preserve"> </w:t>
      </w:r>
      <w:r>
        <w:t xml:space="preserve">, NumPy</w:t>
      </w:r>
      <w:r>
        <w:t xml:space="preserve"> </w:t>
      </w:r>
      <w:r>
        <w:t xml:space="preserve">, SciPy</w:t>
      </w:r>
      <w:r>
        <w:t xml:space="preserve"> </w:t>
      </w:r>
      <w:r>
        <w:t xml:space="preserve">, Matplotlib</w:t>
      </w:r>
      <w:r>
        <w:t xml:space="preserve"> </w:t>
      </w:r>
      <w:r>
        <w:t xml:space="preserve">, and Seaborn</w:t>
      </w:r>
      <w:r>
        <w:t xml:space="preserve"> </w:t>
      </w:r>
      <w:r>
        <w:t xml:space="preserve">. Machine-learning tasks used Scikit-learn</w:t>
      </w:r>
      <w:r>
        <w:t xml:space="preserve"> </w:t>
      </w:r>
      <w:r>
        <w:t xml:space="preserve">. Survival analysis used Kaplan–Meier curves and Cox proportional hazards models. Model performance was evaluated with time-dependent AUC, concordance index (C-index), and hazard ratios with 95% confidence intervals where available. P-values computed from spot- or cell-level spatial summaries were treated as within-section descriptive statistics, not as independent patient-level inference. Data and code availability are detailed in the Declarations section.</w:t>
      </w:r>
    </w:p>
    <w:bookmarkEnd w:id="22"/>
    <w:bookmarkEnd w:id="23"/>
    <w:bookmarkStart w:id="24" w:name="subsec:power"/>
    <w:p>
      <w:pPr>
        <w:pStyle w:val="Heading2"/>
      </w:pPr>
      <w:r>
        <w:t xml:space="preserve">Sample Size and Statistical Power</w:t>
      </w:r>
    </w:p>
    <w:p>
      <w:pPr>
        <w:pStyle w:val="FirstParagraph"/>
      </w:pPr>
      <w:r>
        <w:t xml:space="preserve">The TCGA discovery cohort (N=1,038 after quality control) was adequate for exploratory feature discovery and internal score-behavior assessment. External cohorts were smaller and had lower event counts; therefore, external survival and immunotherapy-response results were interpreted as traceability or exploratory association rather than confirmatory evidence. No prospective sample-size calculation was possible because the study used public retrospective data. This limitation was not addressed by post hoc relabeling of external cohorts as validation sets.</w:t>
      </w:r>
    </w:p>
    <w:bookmarkEnd w:id="24"/>
    <w:bookmarkStart w:id="25" w:name="sec:nested_cv"/>
    <w:p>
      <w:pPr>
        <w:pStyle w:val="Heading2"/>
      </w:pPr>
      <w:r>
        <w:t xml:space="preserve">Nested Cross-Validation Framework</w:t>
      </w:r>
    </w:p>
    <w:p>
      <w:pPr>
        <w:pStyle w:val="FirstParagraph"/>
      </w:pPr>
      <w:r>
        <w:t xml:space="preserve">To reduce data leakage and estimate feature stability, we used 5</w:t>
      </w:r>
      <m:oMath>
        <m:r>
          <m:rPr>
            <m:sty m:val="p"/>
          </m:rPr>
          <m:t>×</m:t>
        </m:r>
      </m:oMath>
      <w:r>
        <w:t xml:space="preserve">5 nested cross-validation. The outer loop used stratified 5-fold splits for held-out assessment, and the inner loop used LASSO feature selection with cross-validated regularization. The final</w:t>
      </w:r>
      <w:r>
        <w:t xml:space="preserve"> </w:t>
      </w:r>
      <m:oMath>
        <m:r>
          <m:t>λ</m:t>
        </m:r>
        <m:r>
          <m:rPr>
            <m:sty m:val="p"/>
          </m:rPr>
          <m:t>=</m:t>
        </m:r>
        <m:r>
          <m:t>0.002</m:t>
        </m:r>
      </m:oMath>
      <w:r>
        <w:t xml:space="preserve"> </w:t>
      </w:r>
      <w:r>
        <w:t xml:space="preserve">yielded 91 non-zero coefficients, and features selected in all outer folds were retained as the stability-prioritized set (Supplementary Table S4). This strategy separates feature selection from held-out fold assessment within TCGA but does not replace prospective testing. GSE31210 and the ICB cohorts were not used for feature selection, hyperparameter tuning, or cutoff determination.</w:t>
      </w:r>
    </w:p>
    <w:bookmarkEnd w:id="25"/>
    <w:bookmarkStart w:id="26" w:name="X1a61f333c9ff4ca07ce41eda9628c3f661b388b"/>
    <w:p>
      <w:pPr>
        <w:pStyle w:val="Heading2"/>
      </w:pPr>
      <w:r>
        <w:t xml:space="preserve">Mendelian Randomization for Gene Prioritization</w:t>
      </w:r>
    </w:p>
    <w:p>
      <w:pPr>
        <w:pStyle w:val="FirstParagraph"/>
      </w:pPr>
      <w:r>
        <w:t xml:space="preserve">We used two-sample Mendelian randomization</w:t>
      </w:r>
      <w:r>
        <w:t xml:space="preserve"> </w:t>
      </w:r>
      <w:r>
        <w:t xml:space="preserve"> </w:t>
      </w:r>
      <w:r>
        <w:t xml:space="preserve">(MR), implemented in the</w:t>
      </w:r>
      <w:r>
        <w:t xml:space="preserve"> </w:t>
      </w:r>
      <w:r>
        <w:rPr>
          <w:i/>
          <w:iCs/>
        </w:rPr>
        <w:t xml:space="preserve">TwoSampleMR</w:t>
      </w:r>
      <w:r>
        <w:t xml:space="preserve"> </w:t>
      </w:r>
      <w:r>
        <w:t xml:space="preserve">R package, as a gene-prioritization layer. MR estimates were interpreted as expression-linked associations under instrumental-variable assumptions, not as proof of spatial mechanism, therapeutic actionability, or clinical utility.</w:t>
      </w:r>
    </w:p>
    <w:p>
      <w:pPr>
        <w:pStyle w:val="BodyText"/>
      </w:pPr>
      <w:r>
        <w:t xml:space="preserve">Instrumental variables were selected at genome-wide significance (</w:t>
      </w:r>
      <m:oMath>
        <m:r>
          <m:t>P</m:t>
        </m:r>
        <m:r>
          <m:rPr>
            <m:sty m:val="p"/>
          </m:rPr>
          <m:t>&lt;</m:t>
        </m:r>
        <m:r>
          <m:t>5</m:t>
        </m:r>
        <m:r>
          <m:rPr>
            <m:sty m:val="p"/>
          </m:rPr>
          <m:t>×</m:t>
        </m:r>
        <m:sSup>
          <m:e>
            <m:r>
              <m:t>10</m:t>
            </m:r>
          </m:e>
          <m:sup>
            <m:r>
              <m:rPr>
                <m:sty m:val="p"/>
              </m:rPr>
              <m:t>−</m:t>
            </m:r>
            <m:r>
              <m:t>8</m:t>
            </m:r>
          </m:sup>
        </m:sSup>
      </m:oMath>
      <w:r>
        <w:t xml:space="preserve">), LD-pruned (</w:t>
      </w:r>
      <m:oMath>
        <m:sSup>
          <m:e>
            <m:r>
              <m:t>r</m:t>
            </m:r>
          </m:e>
          <m:sup>
            <m:r>
              <m:t>2</m:t>
            </m:r>
          </m:sup>
        </m:sSup>
        <m:r>
          <m:rPr>
            <m:sty m:val="p"/>
          </m:rPr>
          <m:t>&lt;</m:t>
        </m:r>
        <m:r>
          <m:t>0.001</m:t>
        </m:r>
      </m:oMath>
      <w:r>
        <w:t xml:space="preserve">, 10,000-kb window), and screened for instrument strength. IVW was used as the primary estimator, with MR-Egger, weighted median, MR-PRESSO, heterogeneity, pleiotropy, directionality, and leave-one-out analyses used as diagnostics. Exposures were eQTL-mediated gene-expression proxies; outcomes were immune-context or immune-infiltration proxies and should not be interpreted as directly measured single-cell densities or spatial phenotypes. Detailed diagnostics are provided in Supplementary Table S11 and Supplementary Figures S9–S10.</w:t>
      </w:r>
    </w:p>
    <w:bookmarkEnd w:id="26"/>
    <w:bookmarkStart w:id="30" w:name="subsec:spatial_methods"/>
    <w:p>
      <w:pPr>
        <w:pStyle w:val="Heading2"/>
      </w:pPr>
      <w:r>
        <w:t xml:space="preserve">Spatial Transcriptomics Analysis</w:t>
      </w:r>
    </w:p>
    <w:p>
      <w:pPr>
        <w:pStyle w:val="FirstParagraph"/>
      </w:pPr>
      <w:r>
        <w:t xml:space="preserve">Spatial analyses were designed to test whether C1Q/SPP1-associated expression showed non-random local structure in the available tissue sections. Because the spatial datasets contained few independent patients, all spatial statistics were interpreted as descriptive spatial-context summaries.</w:t>
      </w:r>
    </w:p>
    <w:bookmarkStart w:id="27" w:name="spatial-autocorrelation-analysis"/>
    <w:p>
      <w:pPr>
        <w:pStyle w:val="Heading3"/>
      </w:pPr>
      <w:r>
        <w:t xml:space="preserve">Spatial Autocorrelation Analysis</w:t>
      </w:r>
    </w:p>
    <w:p>
      <w:pPr>
        <w:pStyle w:val="FirstParagraph"/>
      </w:pPr>
      <w:r>
        <w:t xml:space="preserve">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w:t>
      </w:r>
      <w:r>
        <w:t xml:space="preserve"> </w:t>
      </w:r>
      <m:oMath>
        <m:r>
          <m:rPr>
            <m:sty m:val="p"/>
          </m:rPr>
          <m:t>&gt;</m:t>
        </m:r>
      </m:oMath>
      <w:r>
        <w:t xml:space="preserve"> </w:t>
      </w:r>
      <w:r>
        <w:t xml:space="preserve">0.35 and corrected</w:t>
      </w:r>
      <w:r>
        <w:t xml:space="preserve"> </w:t>
      </w:r>
      <m:oMath>
        <m:r>
          <m:t>P</m:t>
        </m:r>
        <m:r>
          <m:rPr>
            <m:sty m:val="p"/>
          </m:rPr>
          <m:t>&lt;</m:t>
        </m:r>
        <m:r>
          <m:t>0.001</m:t>
        </m:r>
      </m:oMath>
      <w:r>
        <w:t xml:space="preserve"> </w:t>
      </w:r>
      <w:r>
        <w:t xml:space="preserve">were described as spatially clustered within the analyzed sections. The term</w:t>
      </w:r>
      <w:r>
        <w:t xml:space="preserve"> </w:t>
      </w:r>
      <w:r>
        <w:t xml:space="preserve">“hotspot”</w:t>
      </w:r>
      <w:r>
        <w:t xml:space="preserve"> </w:t>
      </w:r>
      <w:r>
        <w:t xml:space="preserve">is used descriptively and does not imply causal organization.</w:t>
      </w:r>
    </w:p>
    <w:bookmarkEnd w:id="27"/>
    <w:bookmarkStart w:id="28" w:name="cell-type-deconvolution"/>
    <w:p>
      <w:pPr>
        <w:pStyle w:val="Heading3"/>
      </w:pPr>
      <w:r>
        <w:t xml:space="preserve">Cell Type Deconvolution</w:t>
      </w:r>
    </w:p>
    <w:p>
      <w:pPr>
        <w:pStyle w:val="FirstParagraph"/>
      </w:pPr>
      <w: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8"/>
    <w:bookmarkStart w:id="29" w:name="spatial-co-localization-analysis"/>
    <w:p>
      <w:pPr>
        <w:pStyle w:val="Heading3"/>
      </w:pPr>
      <w:r>
        <w:t xml:space="preserve">Spatial Co-localization Analysis</w:t>
      </w:r>
    </w:p>
    <w:p>
      <w:pPr>
        <w:pStyle w:val="FirstParagraph"/>
      </w:pPr>
      <w:r>
        <w:t xml:space="preserve">To assess spatial context among C1Q, SPP1, and immune-marker programs, we calculated correlations and local spatial statistics across multiple spatial scales (50</w:t>
      </w:r>
      <m:oMath>
        <m:r>
          <m:t>μ</m:t>
        </m:r>
      </m:oMath>
      <w:r>
        <w:t xml:space="preserve">m, 100</w:t>
      </w:r>
      <m:oMath>
        <m:r>
          <m:t>μ</m:t>
        </m:r>
      </m:oMath>
      <w:r>
        <w:t xml:space="preserve">m, and 200</w:t>
      </w:r>
      <m:oMath>
        <m:r>
          <m:t>μ</m:t>
        </m:r>
      </m:oMath>
      <w:r>
        <w:t xml:space="preserve">m where available)</w:t>
      </w:r>
      <w:r>
        <w:t xml:space="preserve"> </w:t>
      </w:r>
      <w: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9"/>
    <w:bookmarkEnd w:id="30"/>
    <w:bookmarkStart w:id="31" w:name="subsec:virtual_ko"/>
    <w:p>
      <w:pPr>
        <w:pStyle w:val="Heading2"/>
      </w:pPr>
      <w:r>
        <w:t xml:space="preserve">Counterfactual Scoring and Sensitivity Analysis</w:t>
      </w:r>
    </w:p>
    <w:p>
      <w:pPr>
        <w:pStyle w:val="FirstParagraph"/>
      </w:pPr>
      <w:r>
        <w:t xml:space="preserve">We performed a counterfactual scoring analysis centered on</w:t>
      </w:r>
      <w:r>
        <w:t xml:space="preserve"> </w:t>
      </w:r>
      <w:r>
        <w:rPr>
          <w:i/>
          <w:iCs/>
        </w:rPr>
        <w:t xml:space="preserve">C1QA</w:t>
      </w:r>
      <w:r>
        <w:t xml:space="preserve">.</w:t>
      </w:r>
      <w:r>
        <w:t xml:space="preserve"> </w:t>
      </w:r>
      <w:r>
        <w:rPr>
          <w:i/>
          <w:iCs/>
        </w:rPr>
        <w:t xml:space="preserve">C1QA</w:t>
      </w:r>
      <w:r>
        <w:t xml:space="preserve"> </w:t>
      </w:r>
      <w: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31"/>
    <w:bookmarkStart w:id="35" w:name="subsec:ml_methods"/>
    <w:p>
      <w:pPr>
        <w:pStyle w:val="Heading2"/>
      </w:pPr>
      <w:r>
        <w:t xml:space="preserve">Retrospective Score Construction and Evaluation</w:t>
      </w:r>
    </w:p>
    <w:p>
      <w:pPr>
        <w:pStyle w:val="FirstParagraph"/>
      </w:pPr>
      <w:r>
        <w:t xml:space="preserve">We benchmarked eleven candidate supervised algorithms or model families using the 91-feature set. Hyperparameters were optimized with Optuna-based Bayesian optimization and stratified cross-validation; detailed search spaces and selected parameters are listed in Supplementary Table S1. The purpose was to assess whether the feature set carried outcome-linked signal, not to establish a clinical-use algorithm. Apparent training performance was reported only as an audit trail and was not used as evidence of model reliability.</w:t>
      </w:r>
    </w:p>
    <w:bookmarkStart w:id="32" w:name="external-traceability-assessment"/>
    <w:p>
      <w:pPr>
        <w:pStyle w:val="Heading3"/>
      </w:pPr>
      <w:r>
        <w:t xml:space="preserve">External Traceability Assessment</w:t>
      </w:r>
    </w:p>
    <w:p>
      <w:pPr>
        <w:pStyle w:val="FirstParagraph"/>
      </w:pPr>
      <w:r>
        <w:t xml:space="preserve">To assess transferability beyond TCGA, we evaluated the feature set in GSE31210 lung adenocarcinoma samples with complete follow-up (N=178). Cross-platform harmonization used feature alignment, dataset-specific normalization, batch adjustment where applicable, and within-cohort z-score scaling. Transferability was judged descriptively from discrimination, survival separation, and directionally compatible hazard ratios; these criteria were pragmatic and exploratory, not pre-registered clinical benchmarks.</w:t>
      </w:r>
    </w:p>
    <w:bookmarkEnd w:id="32"/>
    <w:bookmarkStart w:id="33" w:name="score-behavior-metrics"/>
    <w:p>
      <w:pPr>
        <w:pStyle w:val="Heading3"/>
      </w:pPr>
      <w:r>
        <w:t xml:space="preserve">Score-Behavior Metrics</w:t>
      </w:r>
    </w:p>
    <w:p>
      <w:pPr>
        <w:pStyle w:val="FirstParagraph"/>
      </w:pPr>
      <w:r>
        <w:t xml:space="preserve">Score behavior was assessed using AUC, accuracy, precision, recall, F1-score, C-index, hazard ratios, Kaplan–Meier curves, and exploratory decision-curve analysis where endpoint format allowed. Time-dependent ROC curves were generated at 1, 3, and 5 years. Median score splits were used only for visualization. Although XGBoost achieved the highest internal AUC, AdaBoost was retained as the reference score for downstream description because it produced stable survival separation and a compact descriptive score; no clinical superiority is claimed.</w:t>
      </w:r>
    </w:p>
    <w:bookmarkEnd w:id="33"/>
    <w:bookmarkStart w:id="34" w:name="X3b62344a5b6d80ffe344c3c96c5939dca1ea284"/>
    <w:p>
      <w:pPr>
        <w:pStyle w:val="Heading3"/>
      </w:pPr>
      <w:r>
        <w:t xml:space="preserve">Clinical Comparator and Incremental-Value Boundaries</w:t>
      </w:r>
    </w:p>
    <w:p>
      <w:pPr>
        <w:pStyle w:val="FirstParagraph"/>
      </w:pPr>
      <w:r>
        <w:t xml:space="preserve">Where available, age, sex, and stage were included in multivariable survival models. However, harmonized PD-L1 immunohistochemistry, TMB, ctDNA dynamics, TCR repertoire, line of therapy, treatment regimen, and response-assessment metadata were not consistently available across the public cohorts. These variables were therefore not imputed or reconstructed for cross-cohort comparison. The study does not claim incremental predictive value over PD-L1, TMB, clinical-only models, stage-only models, or published immune signatures.</w:t>
      </w:r>
    </w:p>
    <w:bookmarkEnd w:id="34"/>
    <w:bookmarkEnd w:id="35"/>
    <w:bookmarkStart w:id="36" w:name="statistical-analysis-1"/>
    <w:p>
      <w:pPr>
        <w:pStyle w:val="Heading2"/>
      </w:pPr>
      <w:r>
        <w:t xml:space="preserve">Statistical Analysis</w:t>
      </w:r>
    </w:p>
    <w:p>
      <w:pPr>
        <w:pStyle w:val="FirstParagraph"/>
      </w:pPr>
      <w: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pPr>
      <w:r>
        <w:t xml:space="preserve">Correlation analyses used Pearson or Spearman correlation depending on distributional assumptions. Multiple testing correction used Benjamini–Hochberg FDR for differential-expression, MR, gene-marker correlation, and enrichment analyses; spatial autocorrelation used Bonferroni correction where specified. All statistical analyses were performed in R version 4.2.0 and Python 3.9.0. Two-sided</w:t>
      </w:r>
      <w:r>
        <w:t xml:space="preserve"> </w:t>
      </w:r>
      <m:oMath>
        <m:r>
          <m:t>P</m:t>
        </m:r>
      </m:oMath>
      <w:r>
        <w:t xml:space="preserve">-values</w:t>
      </w:r>
      <w:r>
        <w:t xml:space="preserve"> </w:t>
      </w:r>
      <m:oMath>
        <m:r>
          <m:rPr>
            <m:sty m:val="p"/>
          </m:rPr>
          <m:t>&lt;</m:t>
        </m:r>
      </m:oMath>
      <w:r>
        <w:t xml:space="preserve"> </w:t>
      </w:r>
      <w:r>
        <w:t xml:space="preserve">0.05 were considered statistically significant unless otherwise specified.</w:t>
      </w:r>
    </w:p>
    <w:bookmarkEnd w:id="36"/>
    <w:bookmarkStart w:id="37" w:name="hazard-ratio-calculation"/>
    <w:p>
      <w:pPr>
        <w:pStyle w:val="Heading2"/>
      </w:pPr>
      <w:r>
        <w:t xml:space="preserve">Hazard Ratio Calculation</w:t>
      </w:r>
    </w:p>
    <w:p>
      <w:pPr>
        <w:pStyle w:val="FirstParagraph"/>
      </w:pPr>
      <w:r>
        <w:t xml:space="preserve">Hazard ratios (HRs) and 95% confidence intervals (CIs) were calculated using univariate Cox proportional hazards regression implemented in the</w:t>
      </w:r>
      <w:r>
        <w:t xml:space="preserve"> </w:t>
      </w:r>
      <w:r>
        <w:rPr>
          <w:i/>
          <w:iCs/>
        </w:rPr>
        <w:t xml:space="preserve">lifelines</w:t>
      </w:r>
      <w:r>
        <w:t xml:space="preserve"> </w:t>
      </w:r>
      <w: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7"/>
    <w:bookmarkStart w:id="38" w:name="Xc8aa1438e672c0e7169e4aba5190878a116dddc"/>
    <w:p>
      <w:pPr>
        <w:pStyle w:val="Heading2"/>
      </w:pPr>
      <w:r>
        <w:t xml:space="preserve">Descriptive Score Construction and Survival Association</w:t>
      </w:r>
    </w:p>
    <w:p>
      <w:pPr>
        <w:pStyle w:val="FirstParagraph"/>
      </w:pPr>
      <w:r>
        <w:t xml:space="preserve">To evaluate whether the stability-prioritized feature set carried retrospective outcome signal, we constructed a descriptive outcome-associated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Discrimination was summarized with C-index and time-dependent AUC.</w:t>
      </w:r>
    </w:p>
    <w:bookmarkEnd w:id="38"/>
    <w:bookmarkEnd w:id="39"/>
    <w:bookmarkStart w:id="79" w:name="sec:results"/>
    <w:p>
      <w:pPr>
        <w:pStyle w:val="Heading1"/>
      </w:pPr>
      <w:r>
        <w:t xml:space="preserve">Results</w:t>
      </w:r>
    </w:p>
    <w:p>
      <w:pPr>
        <w:pStyle w:val="FirstParagraph"/>
      </w:pPr>
      <w:r>
        <w:t xml:space="preserve">The results follow the declared evidence hierarchy: first establishing cohort accounting and feature stability, then asking whether the same macrophage-context signal is supported by MR-based prioritization, spatial organization, retrospective outcome traceability, and exploratory immunotherapy-response association.</w:t>
      </w:r>
    </w:p>
    <w:bookmarkStart w:id="40" w:name="subsec:baseline"/>
    <w:p>
      <w:pPr>
        <w:pStyle w:val="Heading2"/>
      </w:pPr>
      <w:r>
        <w:t xml:space="preserve">Study Population and Baseline Characteristics</w:t>
      </w:r>
    </w:p>
    <w:p>
      <w:pPr>
        <w:pStyle w:val="FirstParagraph"/>
      </w:pPr>
      <w: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numPr>
          <w:ilvl w:val="0"/>
          <w:numId w:val="1002"/>
        </w:numPr>
      </w:pPr>
      <w:r>
        <w:rPr>
          <w:b/>
          <w:bCs/>
        </w:rPr>
        <w:t xml:space="preserve">Gender disparity</w:t>
      </w:r>
      <w:r>
        <w:t xml:space="preserve">: LUSC had higher male representation (74.1% vs. 41.3% in LUAD)</w:t>
      </w:r>
    </w:p>
    <w:p>
      <w:pPr>
        <w:numPr>
          <w:ilvl w:val="0"/>
          <w:numId w:val="1002"/>
        </w:numPr>
      </w:pPr>
      <w:r>
        <w:rPr>
          <w:b/>
          <w:bCs/>
        </w:rPr>
        <w:t xml:space="preserve">Survival outcomes</w:t>
      </w:r>
      <w:r>
        <w:t xml:space="preserve">: LUSC patients showed higher mortality (43.6% vs. 32.1% in LUAD)</w:t>
      </w:r>
    </w:p>
    <w:p>
      <w:pPr>
        <w:pStyle w:val="FirstParagraph"/>
      </w:pPr>
      <w:r>
        <w:t xml:space="preserve">Detailed characteristics are provided in Table </w:t>
      </w:r>
      <w:hyperlink w:anchor="tab:baseline">
        <w:r>
          <w:rPr>
            <w:rStyle w:val="Hyperlink"/>
          </w:rPr>
          <w:t xml:space="preserve">[tab:baseline]</w:t>
        </w:r>
      </w:hyperlink>
      <w:r>
        <w:t xml:space="preserve">; cohort accounting and source-data traceability are documented in the public source-data manifest.</w:t>
      </w:r>
      <w:r>
        <w:t xml:space="preserve"> </w:t>
      </w:r>
      <w:r>
        <w:t xml:space="preserve">PD-L1, TMB, ctDNA, TCR, and harmonized treatment-regimen annotations were not consistently available across these datasets; therefore, the manuscript does not present a formal incremental-value analysis over standard clinical or molecular comparators.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center"/>
            </w:pPr>
            <w:r>
              <w:t xml:space="preserve">Total (N=1100)</w:t>
            </w:r>
          </w:p>
        </w:tc>
        <w:tc>
          <w:tcPr/>
          <w:p>
            <w:pPr>
              <w:pStyle w:val="Compact"/>
              <w:jc w:val="center"/>
            </w:pPr>
            <w:r>
              <w:t xml:space="preserve">LUAD (N=595)</w:t>
            </w:r>
          </w:p>
        </w:tc>
        <w:tc>
          <w:tcPr/>
          <w:p>
            <w:pPr>
              <w:pStyle w:val="Compact"/>
              <w:jc w:val="center"/>
            </w:pPr>
            <w:r>
              <w:t xml:space="preserve">LUSC (N=505)</w:t>
            </w:r>
          </w:p>
        </w:tc>
        <w:tc>
          <w:tcPr/>
          <w:p>
            <w:pPr>
              <w:pStyle w:val="Compact"/>
              <w:jc w:val="center"/>
            </w:pPr>
            <w:r>
              <w:t xml:space="preserve">GSE31210 (N=226</w:t>
            </w:r>
            <w:r>
              <w:rPr>
                <w:vertAlign w:val="superscript"/>
              </w:rPr>
              <w:t xml:space="preserve">b</w:t>
            </w:r>
            <w:r>
              <w:t xml:space="preserve">)</w:t>
            </w:r>
          </w:p>
        </w:tc>
        <w:tc>
          <w:tcPr/>
          <w:p>
            <w:pPr>
              <w:pStyle w:val="Compact"/>
              <w:jc w:val="center"/>
            </w:pPr>
            <m:oMath>
              <m:r>
                <m:t>P</m:t>
              </m:r>
            </m:oMath>
            <w:r>
              <w:t xml:space="preserve">-value</w:t>
            </w:r>
            <w:r>
              <w:rPr>
                <w:vertAlign w:val="superscript"/>
              </w:rPr>
              <w:t xml:space="preserve">a</w:t>
            </w:r>
          </w:p>
        </w:tc>
      </w:tr>
      <w:tr>
        <w:tc>
          <w:tcPr/>
          <w:p>
            <w:pPr>
              <w:pStyle w:val="Compact"/>
              <w:jc w:val="left"/>
            </w:pPr>
            <w:r>
              <w:rPr>
                <w:b/>
                <w:bCs/>
              </w:rPr>
              <w:t xml:space="preserve">Age (years)</w:t>
            </w:r>
          </w:p>
        </w:tc>
        <w:tc>
          <w:tcPr/>
          <w:p>
            <w:pPr>
              <w:pStyle w:val="Compact"/>
              <w:jc w:val="center"/>
            </w:pPr>
            <w:r>
              <w:t xml:space="preserve">66.2</w:t>
            </w:r>
            <w:r>
              <w:t xml:space="preserve"> </w:t>
            </w:r>
            <m:oMath>
              <m:r>
                <m:rPr>
                  <m:sty m:val="p"/>
                </m:rPr>
                <m:t>±</m:t>
              </m:r>
            </m:oMath>
            <w:r>
              <w:t xml:space="preserve"> </w:t>
            </w:r>
            <w:r>
              <w:t xml:space="preserve">9.4</w:t>
            </w:r>
          </w:p>
        </w:tc>
        <w:tc>
          <w:tcPr/>
          <w:p>
            <w:pPr>
              <w:pStyle w:val="Compact"/>
              <w:jc w:val="center"/>
            </w:pPr>
            <w:r>
              <w:t xml:space="preserve">65.1</w:t>
            </w:r>
            <w:r>
              <w:t xml:space="preserve"> </w:t>
            </w:r>
            <m:oMath>
              <m:r>
                <m:rPr>
                  <m:sty m:val="p"/>
                </m:rPr>
                <m:t>±</m:t>
              </m:r>
            </m:oMath>
            <w:r>
              <w:t xml:space="preserve"> </w:t>
            </w:r>
            <w:r>
              <w:t xml:space="preserve">10.1</w:t>
            </w:r>
          </w:p>
        </w:tc>
        <w:tc>
          <w:tcPr/>
          <w:p>
            <w:pPr>
              <w:pStyle w:val="Compact"/>
              <w:jc w:val="center"/>
            </w:pPr>
            <w:r>
              <w:t xml:space="preserve">67.3</w:t>
            </w:r>
            <w:r>
              <w:t xml:space="preserve"> </w:t>
            </w:r>
            <m:oMath>
              <m:r>
                <m:rPr>
                  <m:sty m:val="p"/>
                </m:rPr>
                <m:t>±</m:t>
              </m:r>
            </m:oMath>
            <w:r>
              <w:t xml:space="preserve"> </w:t>
            </w:r>
            <w:r>
              <w:t xml:space="preserve">8.6</w:t>
            </w:r>
          </w:p>
        </w:tc>
        <w:tc>
          <w:tcPr/>
          <w:p>
            <w:pPr>
              <w:pStyle w:val="Compact"/>
              <w:jc w:val="center"/>
            </w:pPr>
            <w:r>
              <w:t xml:space="preserve">59.6</w:t>
            </w:r>
            <w:r>
              <w:t xml:space="preserve"> </w:t>
            </w:r>
            <m:oMath>
              <m:r>
                <m:rPr>
                  <m:sty m:val="p"/>
                </m:rPr>
                <m:t>±</m:t>
              </m:r>
            </m:oMath>
            <w:r>
              <w:t xml:space="preserve"> </w:t>
            </w:r>
            <w:r>
              <w:t xml:space="preserve">7.4</w:t>
            </w:r>
          </w:p>
        </w:tc>
        <w:tc>
          <w:tcPr/>
          <w:p>
            <w:pPr>
              <w:pStyle w:val="Compact"/>
              <w:jc w:val="center"/>
            </w:pPr>
            <m:oMath>
              <m:r>
                <m:rPr>
                  <m:sty m:val="p"/>
                </m:rPr>
                <m:t>&lt;</m:t>
              </m:r>
              <m:r>
                <m:t>0.001</m:t>
              </m:r>
            </m:oMath>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Male</w:t>
            </w:r>
          </w:p>
        </w:tc>
        <w:tc>
          <w:tcPr/>
          <w:p>
            <w:pPr>
              <w:pStyle w:val="Compact"/>
              <w:jc w:val="center"/>
            </w:pPr>
            <w:r>
              <w:t xml:space="preserve">620 (56.4%)</w:t>
            </w:r>
          </w:p>
        </w:tc>
        <w:tc>
          <w:tcPr/>
          <w:p>
            <w:pPr>
              <w:pStyle w:val="Compact"/>
              <w:jc w:val="center"/>
            </w:pPr>
            <w:r>
              <w:t xml:space="preserve">246 (41.3%)</w:t>
            </w:r>
          </w:p>
        </w:tc>
        <w:tc>
          <w:tcPr/>
          <w:p>
            <w:pPr>
              <w:pStyle w:val="Compact"/>
              <w:jc w:val="center"/>
            </w:pPr>
            <w:r>
              <w:t xml:space="preserve">374 (74.1%)</w:t>
            </w:r>
          </w:p>
        </w:tc>
        <w:tc>
          <w:tcPr/>
          <w:p>
            <w:pPr>
              <w:pStyle w:val="Compact"/>
              <w:jc w:val="center"/>
            </w:pPr>
            <w:r>
              <w:t xml:space="preserve">105 (46.5%)</w:t>
            </w:r>
          </w:p>
        </w:tc>
        <w:tc>
          <w:tcPr/>
          <w:p>
            <w:pPr>
              <w:pStyle w:val="Compact"/>
            </w:pPr>
          </w:p>
        </w:tc>
      </w:tr>
      <w:tr>
        <w:tc>
          <w:tcPr/>
          <w:p>
            <w:pPr>
              <w:pStyle w:val="Compact"/>
              <w:jc w:val="left"/>
            </w:pPr>
            <w:r>
              <w:t xml:space="preserve">Female</w:t>
            </w:r>
          </w:p>
        </w:tc>
        <w:tc>
          <w:tcPr/>
          <w:p>
            <w:pPr>
              <w:pStyle w:val="Compact"/>
              <w:jc w:val="center"/>
            </w:pPr>
            <w:r>
              <w:t xml:space="preserve">417 (37.9%)</w:t>
            </w:r>
          </w:p>
        </w:tc>
        <w:tc>
          <w:tcPr/>
          <w:p>
            <w:pPr>
              <w:pStyle w:val="Compact"/>
              <w:jc w:val="center"/>
            </w:pPr>
            <w:r>
              <w:t xml:space="preserve">286 (48.1%)</w:t>
            </w:r>
          </w:p>
        </w:tc>
        <w:tc>
          <w:tcPr/>
          <w:p>
            <w:pPr>
              <w:pStyle w:val="Compact"/>
              <w:jc w:val="center"/>
            </w:pPr>
            <w:r>
              <w:t xml:space="preserve">131 (25.9%)</w:t>
            </w:r>
          </w:p>
        </w:tc>
        <w:tc>
          <w:tcPr/>
          <w:p>
            <w:pPr>
              <w:pStyle w:val="Compact"/>
              <w:jc w:val="center"/>
            </w:pPr>
            <w:r>
              <w:t xml:space="preserve">121 (53.5%)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jc w:val="left"/>
            </w:pPr>
            <w:r>
              <w:rPr>
                <w:b/>
                <w:bCs/>
              </w:rPr>
              <w:t xml:space="preserve">AJCC Stage</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Stage I</w:t>
            </w:r>
          </w:p>
        </w:tc>
        <w:tc>
          <w:tcPr/>
          <w:p>
            <w:pPr>
              <w:pStyle w:val="Compact"/>
              <w:jc w:val="center"/>
            </w:pPr>
            <w:r>
              <w:t xml:space="preserve">535 (48.6%)</w:t>
            </w:r>
          </w:p>
        </w:tc>
        <w:tc>
          <w:tcPr/>
          <w:p>
            <w:pPr>
              <w:pStyle w:val="Compact"/>
              <w:jc w:val="center"/>
            </w:pPr>
            <w:r>
              <w:t xml:space="preserve">289 (48.6%)</w:t>
            </w:r>
          </w:p>
        </w:tc>
        <w:tc>
          <w:tcPr/>
          <w:p>
            <w:pPr>
              <w:pStyle w:val="Compact"/>
              <w:jc w:val="center"/>
            </w:pPr>
            <w:r>
              <w:t xml:space="preserve">246 (48.7%)</w:t>
            </w:r>
          </w:p>
        </w:tc>
        <w:tc>
          <w:tcPr/>
          <w:p>
            <w:pPr>
              <w:pStyle w:val="Compact"/>
              <w:jc w:val="center"/>
            </w:pPr>
            <w:r>
              <w:t xml:space="preserve">168 (74.3%)</w:t>
            </w:r>
          </w:p>
        </w:tc>
        <w:tc>
          <w:tcPr/>
          <w:p>
            <w:pPr>
              <w:pStyle w:val="Compact"/>
            </w:pPr>
          </w:p>
        </w:tc>
      </w:tr>
      <w:tr>
        <w:tc>
          <w:tcPr/>
          <w:p>
            <w:pPr>
              <w:pStyle w:val="Compact"/>
              <w:jc w:val="left"/>
            </w:pPr>
            <w:r>
              <w:t xml:space="preserve">Stage II</w:t>
            </w:r>
          </w:p>
        </w:tc>
        <w:tc>
          <w:tcPr/>
          <w:p>
            <w:pPr>
              <w:pStyle w:val="Compact"/>
              <w:jc w:val="center"/>
            </w:pPr>
            <w:r>
              <w:t xml:space="preserve">288 (26.2%)</w:t>
            </w:r>
          </w:p>
        </w:tc>
        <w:tc>
          <w:tcPr/>
          <w:p>
            <w:pPr>
              <w:pStyle w:val="Compact"/>
              <w:jc w:val="center"/>
            </w:pPr>
            <w:r>
              <w:t xml:space="preserve">125 (21.0%)</w:t>
            </w:r>
          </w:p>
        </w:tc>
        <w:tc>
          <w:tcPr/>
          <w:p>
            <w:pPr>
              <w:pStyle w:val="Compact"/>
              <w:jc w:val="center"/>
            </w:pPr>
            <w:r>
              <w:t xml:space="preserve">163 (32.3%)</w:t>
            </w:r>
          </w:p>
        </w:tc>
        <w:tc>
          <w:tcPr/>
          <w:p>
            <w:pPr>
              <w:pStyle w:val="Compact"/>
              <w:jc w:val="center"/>
            </w:pPr>
            <w:r>
              <w:t xml:space="preserve">58 (25.7%)</w:t>
            </w:r>
          </w:p>
        </w:tc>
        <w:tc>
          <w:tcPr/>
          <w:p>
            <w:pPr>
              <w:pStyle w:val="Compact"/>
            </w:pPr>
          </w:p>
        </w:tc>
      </w:tr>
      <w:tr>
        <w:tc>
          <w:tcPr/>
          <w:p>
            <w:pPr>
              <w:pStyle w:val="Compact"/>
              <w:jc w:val="left"/>
            </w:pPr>
            <w:r>
              <w:t xml:space="preserve">Stage III</w:t>
            </w:r>
          </w:p>
        </w:tc>
        <w:tc>
          <w:tcPr/>
          <w:p>
            <w:pPr>
              <w:pStyle w:val="Compact"/>
              <w:jc w:val="center"/>
            </w:pPr>
            <w:r>
              <w:t xml:space="preserve">169 (15.4%)</w:t>
            </w:r>
          </w:p>
        </w:tc>
        <w:tc>
          <w:tcPr/>
          <w:p>
            <w:pPr>
              <w:pStyle w:val="Compact"/>
              <w:jc w:val="center"/>
            </w:pPr>
            <w:r>
              <w:t xml:space="preserve">84 (14.1%)</w:t>
            </w:r>
          </w:p>
        </w:tc>
        <w:tc>
          <w:tcPr/>
          <w:p>
            <w:pPr>
              <w:pStyle w:val="Compact"/>
              <w:jc w:val="center"/>
            </w:pPr>
            <w:r>
              <w:t xml:space="preserve">85 (16.8%)</w:t>
            </w:r>
          </w:p>
        </w:tc>
        <w:tc>
          <w:tcPr/>
          <w:p>
            <w:pPr>
              <w:pStyle w:val="Compact"/>
              <w:jc w:val="center"/>
            </w:pPr>
            <w:r>
              <w:t xml:space="preserve">0 (0.0%)</w:t>
            </w:r>
          </w:p>
        </w:tc>
        <w:tc>
          <w:tcPr/>
          <w:p>
            <w:pPr>
              <w:pStyle w:val="Compact"/>
            </w:pPr>
          </w:p>
        </w:tc>
      </w:tr>
      <w:tr>
        <w:tc>
          <w:tcPr/>
          <w:p>
            <w:pPr>
              <w:pStyle w:val="Compact"/>
              <w:jc w:val="left"/>
            </w:pPr>
            <w:r>
              <w:t xml:space="preserve">Stage IV</w:t>
            </w:r>
          </w:p>
        </w:tc>
        <w:tc>
          <w:tcPr/>
          <w:p>
            <w:pPr>
              <w:pStyle w:val="Compact"/>
              <w:jc w:val="center"/>
            </w:pPr>
            <w:r>
              <w:t xml:space="preserve">33 (3.0%)</w:t>
            </w:r>
          </w:p>
        </w:tc>
        <w:tc>
          <w:tcPr/>
          <w:p>
            <w:pPr>
              <w:pStyle w:val="Compact"/>
              <w:jc w:val="center"/>
            </w:pPr>
            <w:r>
              <w:t xml:space="preserve">26 (4.4%)</w:t>
            </w:r>
          </w:p>
        </w:tc>
        <w:tc>
          <w:tcPr/>
          <w:p>
            <w:pPr>
              <w:pStyle w:val="Compact"/>
              <w:jc w:val="center"/>
            </w:pPr>
            <w:r>
              <w:t xml:space="preserve">7 (1.4%)</w:t>
            </w:r>
          </w:p>
        </w:tc>
        <w:tc>
          <w:tcPr/>
          <w:p>
            <w:pPr>
              <w:pStyle w:val="Compact"/>
              <w:jc w:val="center"/>
            </w:pPr>
            <w:r>
              <w:t xml:space="preserve">0 (0.0%)</w:t>
            </w:r>
          </w:p>
        </w:tc>
        <w:tc>
          <w:tcPr/>
          <w:p>
            <w:pPr>
              <w:pStyle w:val="Compact"/>
            </w:pPr>
          </w:p>
        </w:tc>
      </w:tr>
      <w:tr>
        <w:tc>
          <w:tcPr/>
          <w:p>
            <w:pPr>
              <w:pStyle w:val="Compact"/>
              <w:jc w:val="left"/>
            </w:pPr>
            <w:r>
              <w:t xml:space="preserve">Unknown</w:t>
            </w:r>
          </w:p>
        </w:tc>
        <w:tc>
          <w:tcPr/>
          <w:p>
            <w:pPr>
              <w:pStyle w:val="Compact"/>
              <w:jc w:val="center"/>
            </w:pPr>
            <w:r>
              <w:t xml:space="preserve">75 (6.8%)</w:t>
            </w:r>
          </w:p>
        </w:tc>
        <w:tc>
          <w:tcPr/>
          <w:p>
            <w:pPr>
              <w:pStyle w:val="Compact"/>
              <w:jc w:val="center"/>
            </w:pPr>
            <w:r>
              <w:t xml:space="preserve">71 (11.9%)</w:t>
            </w:r>
          </w:p>
        </w:tc>
        <w:tc>
          <w:tcPr/>
          <w:p>
            <w:pPr>
              <w:pStyle w:val="Compact"/>
              <w:jc w:val="center"/>
            </w:pPr>
            <w:r>
              <w:t xml:space="preserve">4 (0.8%)</w:t>
            </w:r>
          </w:p>
        </w:tc>
        <w:tc>
          <w:tcPr/>
          <w:p>
            <w:pPr>
              <w:pStyle w:val="Compact"/>
              <w:jc w:val="center"/>
            </w:pPr>
            <w:r>
              <w:t xml:space="preserve">0 (0.0%)</w:t>
            </w:r>
          </w:p>
        </w:tc>
        <w:tc>
          <w:tcPr/>
          <w:p>
            <w:pPr>
              <w:pStyle w:val="Compact"/>
            </w:pP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N.A.</w:t>
            </w:r>
          </w:p>
        </w:tc>
      </w:tr>
      <w:tr>
        <w:tc>
          <w:tcPr/>
          <w:p>
            <w:pPr>
              <w:pStyle w:val="Compact"/>
              <w:jc w:val="left"/>
            </w:pPr>
            <w:r>
              <w:t xml:space="preserve">Light (</w:t>
            </w:r>
            <m:oMath>
              <m:r>
                <m:rPr>
                  <m:sty m:val="p"/>
                </m:rPr>
                <m:t>&lt;</m:t>
              </m:r>
            </m:oMath>
            <w:r>
              <w:t xml:space="preserve">10 pack-years)</w:t>
            </w:r>
          </w:p>
        </w:tc>
        <w:tc>
          <w:tcPr/>
          <w:p>
            <w:pPr>
              <w:pStyle w:val="Compact"/>
              <w:jc w:val="center"/>
            </w:pPr>
            <w:r>
              <w:t xml:space="preserve">35 (3.2%)</w:t>
            </w:r>
          </w:p>
        </w:tc>
        <w:tc>
          <w:tcPr/>
          <w:p>
            <w:pPr>
              <w:pStyle w:val="Compact"/>
              <w:jc w:val="center"/>
            </w:pPr>
            <w:r>
              <w:t xml:space="preserve">22 (3.7%)</w:t>
            </w:r>
          </w:p>
        </w:tc>
        <w:tc>
          <w:tcPr/>
          <w:p>
            <w:pPr>
              <w:pStyle w:val="Compact"/>
              <w:jc w:val="center"/>
            </w:pPr>
            <w:r>
              <w:t xml:space="preserve">13 (2.6%)</w:t>
            </w:r>
          </w:p>
        </w:tc>
        <w:tc>
          <w:tcPr/>
          <w:p>
            <w:pPr>
              <w:pStyle w:val="Compact"/>
              <w:jc w:val="center"/>
            </w:pPr>
            <w:r>
              <w:t xml:space="preserve">N.A.</w:t>
            </w:r>
          </w:p>
        </w:tc>
        <w:tc>
          <w:tcPr/>
          <w:p>
            <w:pPr>
              <w:pStyle w:val="Compact"/>
            </w:pPr>
          </w:p>
        </w:tc>
      </w:tr>
      <w:tr>
        <w:tc>
          <w:tcPr/>
          <w:p>
            <w:pPr>
              <w:pStyle w:val="Compact"/>
              <w:jc w:val="left"/>
            </w:pPr>
            <w:r>
              <w:t xml:space="preserve">Moderate (10–30 pack-years)</w:t>
            </w:r>
          </w:p>
        </w:tc>
        <w:tc>
          <w:tcPr/>
          <w:p>
            <w:pPr>
              <w:pStyle w:val="Compact"/>
              <w:jc w:val="center"/>
            </w:pPr>
            <w:r>
              <w:t xml:space="preserve">170 (15.5%)</w:t>
            </w:r>
          </w:p>
        </w:tc>
        <w:tc>
          <w:tcPr/>
          <w:p>
            <w:pPr>
              <w:pStyle w:val="Compact"/>
              <w:jc w:val="center"/>
            </w:pPr>
            <w:r>
              <w:t xml:space="preserve">105 (17.6%)</w:t>
            </w:r>
          </w:p>
        </w:tc>
        <w:tc>
          <w:tcPr/>
          <w:p>
            <w:pPr>
              <w:pStyle w:val="Compact"/>
              <w:jc w:val="center"/>
            </w:pPr>
            <w:r>
              <w:t xml:space="preserve">65 (12.9%)</w:t>
            </w:r>
          </w:p>
        </w:tc>
        <w:tc>
          <w:tcPr/>
          <w:p>
            <w:pPr>
              <w:pStyle w:val="Compact"/>
              <w:jc w:val="center"/>
            </w:pPr>
            <w:r>
              <w:t xml:space="preserve">N.A.</w:t>
            </w:r>
          </w:p>
        </w:tc>
        <w:tc>
          <w:tcPr/>
          <w:p>
            <w:pPr>
              <w:pStyle w:val="Compact"/>
            </w:pPr>
          </w:p>
        </w:tc>
      </w:tr>
      <w:tr>
        <w:tc>
          <w:tcPr/>
          <w:p>
            <w:pPr>
              <w:pStyle w:val="Compact"/>
              <w:jc w:val="left"/>
            </w:pPr>
            <w:r>
              <w:t xml:space="preserve">Heavy (</w:t>
            </w:r>
            <m:oMath>
              <m:r>
                <m:rPr>
                  <m:sty m:val="p"/>
                </m:rPr>
                <m:t>≥</m:t>
              </m:r>
            </m:oMath>
            <w:r>
              <w:t xml:space="preserve">30 pack-years)</w:t>
            </w:r>
          </w:p>
        </w:tc>
        <w:tc>
          <w:tcPr/>
          <w:p>
            <w:pPr>
              <w:pStyle w:val="Compact"/>
              <w:jc w:val="center"/>
            </w:pPr>
            <w:r>
              <w:t xml:space="preserve">588 (53.5%)</w:t>
            </w:r>
          </w:p>
        </w:tc>
        <w:tc>
          <w:tcPr/>
          <w:p>
            <w:pPr>
              <w:pStyle w:val="Compact"/>
              <w:jc w:val="center"/>
            </w:pPr>
            <w:r>
              <w:t xml:space="preserve">238 (40.0%)</w:t>
            </w:r>
          </w:p>
        </w:tc>
        <w:tc>
          <w:tcPr/>
          <w:p>
            <w:pPr>
              <w:pStyle w:val="Compact"/>
              <w:jc w:val="center"/>
            </w:pPr>
            <w:r>
              <w:t xml:space="preserve">350 (69.3%)</w:t>
            </w:r>
          </w:p>
        </w:tc>
        <w:tc>
          <w:tcPr/>
          <w:p>
            <w:pPr>
              <w:pStyle w:val="Compact"/>
              <w:jc w:val="center"/>
            </w:pPr>
            <w:r>
              <w:t xml:space="preserve">N.A.</w:t>
            </w:r>
          </w:p>
        </w:tc>
        <w:tc>
          <w:tcPr/>
          <w:p>
            <w:pPr>
              <w:pStyle w:val="Compact"/>
            </w:pPr>
          </w:p>
        </w:tc>
      </w:tr>
      <w:tr>
        <w:tc>
          <w:tcPr/>
          <w:p>
            <w:pPr>
              <w:pStyle w:val="Compact"/>
              <w:jc w:val="left"/>
            </w:pPr>
            <w:r>
              <w:t xml:space="preserve">Unknown</w:t>
            </w:r>
          </w:p>
        </w:tc>
        <w:tc>
          <w:tcPr/>
          <w:p>
            <w:pPr>
              <w:pStyle w:val="Compact"/>
              <w:jc w:val="center"/>
            </w:pPr>
            <w:r>
              <w:t xml:space="preserve">307 (27.9%)</w:t>
            </w:r>
          </w:p>
        </w:tc>
        <w:tc>
          <w:tcPr/>
          <w:p>
            <w:pPr>
              <w:pStyle w:val="Compact"/>
              <w:jc w:val="center"/>
            </w:pPr>
            <w:r>
              <w:t xml:space="preserve">230 (38.7%)</w:t>
            </w:r>
          </w:p>
        </w:tc>
        <w:tc>
          <w:tcPr/>
          <w:p>
            <w:pPr>
              <w:pStyle w:val="Compact"/>
              <w:jc w:val="center"/>
            </w:pPr>
            <w:r>
              <w:t xml:space="preserve">77 (15.2%)</w:t>
            </w:r>
          </w:p>
        </w:tc>
        <w:tc>
          <w:tcPr/>
          <w:p>
            <w:pPr>
              <w:pStyle w:val="Compact"/>
              <w:jc w:val="center"/>
            </w:pPr>
            <w:r>
              <w:t xml:space="preserve">N.A.</w:t>
            </w:r>
          </w:p>
        </w:tc>
        <w:tc>
          <w:tcPr/>
          <w:p>
            <w:pPr>
              <w:pStyle w:val="Compact"/>
            </w:pPr>
          </w:p>
        </w:tc>
      </w:tr>
      <w:tr>
        <w:tc>
          <w:tcPr/>
          <w:p>
            <w:pPr>
              <w:pStyle w:val="Compact"/>
              <w:jc w:val="left"/>
            </w:pPr>
            <w:r>
              <w:rPr>
                <w:b/>
                <w:bCs/>
              </w:rPr>
              <w:t xml:space="preserve">Vital Status</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Alive</w:t>
            </w:r>
          </w:p>
        </w:tc>
        <w:tc>
          <w:tcPr/>
          <w:p>
            <w:pPr>
              <w:pStyle w:val="Compact"/>
              <w:jc w:val="center"/>
            </w:pPr>
            <w:r>
              <w:t xml:space="preserve">626 (56.9%)</w:t>
            </w:r>
          </w:p>
        </w:tc>
        <w:tc>
          <w:tcPr/>
          <w:p>
            <w:pPr>
              <w:pStyle w:val="Compact"/>
              <w:jc w:val="center"/>
            </w:pPr>
            <w:r>
              <w:t xml:space="preserve">341 (57.3%)</w:t>
            </w:r>
          </w:p>
        </w:tc>
        <w:tc>
          <w:tcPr/>
          <w:p>
            <w:pPr>
              <w:pStyle w:val="Compact"/>
              <w:jc w:val="center"/>
            </w:pPr>
            <w:r>
              <w:t xml:space="preserve">285 (56.4%)</w:t>
            </w:r>
          </w:p>
        </w:tc>
        <w:tc>
          <w:tcPr/>
          <w:p>
            <w:pPr>
              <w:pStyle w:val="Compact"/>
              <w:jc w:val="center"/>
            </w:pPr>
            <w:r>
              <w:t xml:space="preserve">191 (84.5%)</w:t>
            </w:r>
          </w:p>
        </w:tc>
        <w:tc>
          <w:tcPr/>
          <w:p>
            <w:pPr>
              <w:pStyle w:val="Compact"/>
            </w:pPr>
          </w:p>
        </w:tc>
      </w:tr>
      <w:tr>
        <w:tc>
          <w:tcPr/>
          <w:p>
            <w:pPr>
              <w:pStyle w:val="Compact"/>
              <w:jc w:val="left"/>
            </w:pPr>
            <w:r>
              <w:t xml:space="preserve">Dead</w:t>
            </w:r>
          </w:p>
        </w:tc>
        <w:tc>
          <w:tcPr/>
          <w:p>
            <w:pPr>
              <w:pStyle w:val="Compact"/>
              <w:jc w:val="center"/>
            </w:pPr>
            <w:r>
              <w:t xml:space="preserve">411 (37.4%)</w:t>
            </w:r>
          </w:p>
        </w:tc>
        <w:tc>
          <w:tcPr/>
          <w:p>
            <w:pPr>
              <w:pStyle w:val="Compact"/>
              <w:jc w:val="center"/>
            </w:pPr>
            <w:r>
              <w:t xml:space="preserve">191 (32.1%)</w:t>
            </w:r>
          </w:p>
        </w:tc>
        <w:tc>
          <w:tcPr/>
          <w:p>
            <w:pPr>
              <w:pStyle w:val="Compact"/>
              <w:jc w:val="center"/>
            </w:pPr>
            <w:r>
              <w:t xml:space="preserve">220 (43.6%)</w:t>
            </w:r>
          </w:p>
        </w:tc>
        <w:tc>
          <w:tcPr/>
          <w:p>
            <w:pPr>
              <w:pStyle w:val="Compact"/>
              <w:jc w:val="center"/>
            </w:pPr>
            <w:r>
              <w:t xml:space="preserve">35 (15.5%)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Model</w:t>
            </w:r>
          </w:p>
        </w:tc>
        <w:tc>
          <w:tcPr/>
          <w:p>
            <w:pPr>
              <w:pStyle w:val="Compact"/>
              <w:jc w:val="center"/>
            </w:pPr>
            <w:r>
              <w:rPr>
                <w:b/>
                <w:bCs/>
              </w:rPr>
              <w:t xml:space="preserve">Test AUC</w:t>
            </w:r>
          </w:p>
        </w:tc>
        <w:tc>
          <w:tcPr/>
          <w:p>
            <w:pPr>
              <w:pStyle w:val="Compact"/>
              <w:jc w:val="center"/>
            </w:pPr>
            <w:r>
              <w:rPr>
                <w:b/>
                <w:bCs/>
              </w:rPr>
              <w:t xml:space="preserve">Test Accuracy</w:t>
            </w:r>
          </w:p>
        </w:tc>
        <w:tc>
          <w:tcPr/>
          <w:p>
            <w:pPr>
              <w:pStyle w:val="Compact"/>
              <w:jc w:val="center"/>
            </w:pPr>
            <w:r>
              <w:rPr>
                <w:b/>
                <w:bCs/>
              </w:rPr>
              <w:t xml:space="preserve">Test F1-score</w:t>
            </w:r>
          </w:p>
        </w:tc>
        <w:tc>
          <w:tcPr/>
          <w:p>
            <w:pPr>
              <w:pStyle w:val="Compact"/>
              <w:jc w:val="center"/>
            </w:pPr>
            <w:r>
              <w:rPr>
                <w:b/>
                <w:bCs/>
              </w:rPr>
              <w:t xml:space="preserve">C-index</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XGBoost</w:t>
            </w:r>
          </w:p>
        </w:tc>
        <w:tc>
          <w:tcPr/>
          <w:p>
            <w:pPr>
              <w:pStyle w:val="Compact"/>
              <w:jc w:val="center"/>
            </w:pPr>
            <w:r>
              <w:t xml:space="preserve">0.781</w:t>
            </w:r>
          </w:p>
        </w:tc>
        <w:tc>
          <w:tcPr/>
          <w:p>
            <w:pPr>
              <w:pStyle w:val="Compact"/>
              <w:jc w:val="center"/>
            </w:pPr>
            <w:r>
              <w:t xml:space="preserve">0.725</w:t>
            </w:r>
          </w:p>
        </w:tc>
        <w:tc>
          <w:tcPr/>
          <w:p>
            <w:pPr>
              <w:pStyle w:val="Compact"/>
              <w:jc w:val="center"/>
            </w:pPr>
            <w:r>
              <w:t xml:space="preserve">0.715</w:t>
            </w:r>
          </w:p>
        </w:tc>
        <w:tc>
          <w:tcPr/>
          <w:p>
            <w:pPr>
              <w:pStyle w:val="Compact"/>
              <w:jc w:val="center"/>
            </w:pPr>
            <w:r>
              <w:t xml:space="preserve">0.591</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Naive Bayes</w:t>
            </w:r>
          </w:p>
        </w:tc>
        <w:tc>
          <w:tcPr/>
          <w:p>
            <w:pPr>
              <w:pStyle w:val="Compact"/>
              <w:jc w:val="center"/>
            </w:pPr>
            <w:r>
              <w:t xml:space="preserve">0.680</w:t>
            </w:r>
          </w:p>
        </w:tc>
        <w:tc>
          <w:tcPr/>
          <w:p>
            <w:pPr>
              <w:pStyle w:val="Compact"/>
              <w:jc w:val="center"/>
            </w:pPr>
            <w:r>
              <w:t xml:space="preserve">0.679</w:t>
            </w:r>
          </w:p>
        </w:tc>
        <w:tc>
          <w:tcPr/>
          <w:p>
            <w:pPr>
              <w:pStyle w:val="Compact"/>
              <w:jc w:val="center"/>
            </w:pPr>
            <w:r>
              <w:t xml:space="preserve">0.680</w:t>
            </w:r>
          </w:p>
        </w:tc>
        <w:tc>
          <w:tcPr/>
          <w:p>
            <w:pPr>
              <w:pStyle w:val="Compact"/>
              <w:jc w:val="center"/>
            </w:pPr>
            <w:r>
              <w:t xml:space="preserve">0.680</w:t>
            </w:r>
          </w:p>
        </w:tc>
        <w:tc>
          <w:tcPr/>
          <w:p>
            <w:pPr>
              <w:pStyle w:val="Compact"/>
              <w:jc w:val="center"/>
            </w:pPr>
            <w:r>
              <w:t xml:space="preserve">1.59 (1.33–1.91)</w:t>
            </w:r>
          </w:p>
        </w:tc>
        <w:tc>
          <w:tcPr/>
          <w:p>
            <w:pPr>
              <w:pStyle w:val="Compact"/>
              <w:jc w:val="center"/>
            </w:pPr>
            <m:oMath>
              <m:r>
                <m:rPr>
                  <m:sty m:val="p"/>
                </m:rPr>
                <m:t>&lt;</m:t>
              </m:r>
            </m:oMath>
            <w:r>
              <w:t xml:space="preserve">0.001</w:t>
            </w:r>
          </w:p>
        </w:tc>
      </w:tr>
      <w:tr>
        <w:tc>
          <w:tcPr/>
          <w:p>
            <w:pPr>
              <w:pStyle w:val="Compact"/>
              <w:jc w:val="left"/>
            </w:pPr>
            <w:r>
              <w:t xml:space="preserve">Soft Voting</w:t>
            </w:r>
          </w:p>
        </w:tc>
        <w:tc>
          <w:tcPr/>
          <w:p>
            <w:pPr>
              <w:pStyle w:val="Compact"/>
              <w:jc w:val="center"/>
            </w:pPr>
            <w:r>
              <w:t xml:space="preserve">0.757</w:t>
            </w:r>
          </w:p>
        </w:tc>
        <w:tc>
          <w:tcPr/>
          <w:p>
            <w:pPr>
              <w:pStyle w:val="Compact"/>
              <w:jc w:val="center"/>
            </w:pPr>
            <w:r>
              <w:t xml:space="preserve">0.738</w:t>
            </w:r>
          </w:p>
        </w:tc>
        <w:tc>
          <w:tcPr/>
          <w:p>
            <w:pPr>
              <w:pStyle w:val="Compact"/>
              <w:jc w:val="center"/>
            </w:pPr>
            <w:r>
              <w:t xml:space="preserve">0.732</w:t>
            </w:r>
          </w:p>
        </w:tc>
        <w:tc>
          <w:tcPr/>
          <w:p>
            <w:pPr>
              <w:pStyle w:val="Compact"/>
              <w:jc w:val="center"/>
            </w:pPr>
            <w:r>
              <w:t xml:space="preserve">0.604</w:t>
            </w:r>
          </w:p>
        </w:tc>
        <w:tc>
          <w:tcPr/>
          <w:p>
            <w:pPr>
              <w:pStyle w:val="Compact"/>
              <w:jc w:val="center"/>
            </w:pPr>
            <w:r>
              <w:t xml:space="preserve">1.59 (1.35–1.88)</w:t>
            </w:r>
          </w:p>
        </w:tc>
        <w:tc>
          <w:tcPr/>
          <w:p>
            <w:pPr>
              <w:pStyle w:val="Compact"/>
              <w:jc w:val="center"/>
            </w:pPr>
            <m:oMath>
              <m:r>
                <m:rPr>
                  <m:sty m:val="p"/>
                </m:rPr>
                <m:t>&lt;</m:t>
              </m:r>
            </m:oMath>
            <w:r>
              <w:t xml:space="preserve">0.001</w:t>
            </w:r>
          </w:p>
        </w:tc>
      </w:tr>
      <w:tr>
        <w:tc>
          <w:tcPr/>
          <w:p>
            <w:pPr>
              <w:pStyle w:val="Compact"/>
              <w:jc w:val="left"/>
            </w:pPr>
            <w:r>
              <w:t xml:space="preserve">Random Forest</w:t>
            </w:r>
          </w:p>
        </w:tc>
        <w:tc>
          <w:tcPr/>
          <w:p>
            <w:pPr>
              <w:pStyle w:val="Compact"/>
              <w:jc w:val="center"/>
            </w:pPr>
            <w:r>
              <w:t xml:space="preserve">0.701</w:t>
            </w:r>
          </w:p>
        </w:tc>
        <w:tc>
          <w:tcPr/>
          <w:p>
            <w:pPr>
              <w:pStyle w:val="Compact"/>
              <w:jc w:val="center"/>
            </w:pPr>
            <w:r>
              <w:t xml:space="preserve">0.657</w:t>
            </w:r>
          </w:p>
        </w:tc>
        <w:tc>
          <w:tcPr/>
          <w:p>
            <w:pPr>
              <w:pStyle w:val="Compact"/>
              <w:jc w:val="center"/>
            </w:pPr>
            <w:r>
              <w:t xml:space="preserve">0.486</w:t>
            </w:r>
          </w:p>
        </w:tc>
        <w:tc>
          <w:tcPr/>
          <w:p>
            <w:pPr>
              <w:pStyle w:val="Compact"/>
              <w:jc w:val="center"/>
            </w:pPr>
            <w:r>
              <w:t xml:space="preserve">0.657</w:t>
            </w:r>
          </w:p>
        </w:tc>
        <w:tc>
          <w:tcPr/>
          <w:p>
            <w:pPr>
              <w:pStyle w:val="Compact"/>
              <w:jc w:val="center"/>
            </w:pPr>
            <w:r>
              <w:t xml:space="preserve">1.59 (1.34–1.89)</w:t>
            </w:r>
          </w:p>
        </w:tc>
        <w:tc>
          <w:tcPr/>
          <w:p>
            <w:pPr>
              <w:pStyle w:val="Compact"/>
              <w:jc w:val="center"/>
            </w:pPr>
            <m:oMath>
              <m:r>
                <m:rPr>
                  <m:sty m:val="p"/>
                </m:rPr>
                <m:t>&lt;</m:t>
              </m:r>
            </m:oMath>
            <w:r>
              <w:t xml:space="preserve">0.001</w:t>
            </w:r>
          </w:p>
        </w:tc>
      </w:tr>
      <w:tr>
        <w:tc>
          <w:tcPr/>
          <w:p>
            <w:pPr>
              <w:pStyle w:val="Compact"/>
              <w:jc w:val="left"/>
            </w:pPr>
            <w:r>
              <w:t xml:space="preserve">SVM</w:t>
            </w:r>
          </w:p>
        </w:tc>
        <w:tc>
          <w:tcPr/>
          <w:p>
            <w:pPr>
              <w:pStyle w:val="Compact"/>
              <w:jc w:val="center"/>
            </w:pPr>
            <w:r>
              <w:t xml:space="preserve">0.727</w:t>
            </w:r>
          </w:p>
        </w:tc>
        <w:tc>
          <w:tcPr/>
          <w:p>
            <w:pPr>
              <w:pStyle w:val="Compact"/>
              <w:jc w:val="center"/>
            </w:pPr>
            <w:r>
              <w:t xml:space="preserve">0.667</w:t>
            </w:r>
          </w:p>
        </w:tc>
        <w:tc>
          <w:tcPr/>
          <w:p>
            <w:pPr>
              <w:pStyle w:val="Compact"/>
              <w:jc w:val="center"/>
            </w:pPr>
            <w:r>
              <w:t xml:space="preserve">0.493</w:t>
            </w:r>
          </w:p>
        </w:tc>
        <w:tc>
          <w:tcPr/>
          <w:p>
            <w:pPr>
              <w:pStyle w:val="Compact"/>
              <w:jc w:val="center"/>
            </w:pPr>
            <w:r>
              <w:t xml:space="preserve">0.656</w:t>
            </w:r>
          </w:p>
        </w:tc>
        <w:tc>
          <w:tcPr/>
          <w:p>
            <w:pPr>
              <w:pStyle w:val="Compact"/>
              <w:jc w:val="center"/>
            </w:pPr>
            <w:r>
              <w:t xml:space="preserve">1.51 (1.28–1.79)</w:t>
            </w:r>
          </w:p>
        </w:tc>
        <w:tc>
          <w:tcPr/>
          <w:p>
            <w:pPr>
              <w:pStyle w:val="Compact"/>
              <w:jc w:val="center"/>
            </w:pPr>
            <m:oMath>
              <m:r>
                <m:rPr>
                  <m:sty m:val="p"/>
                </m:rPr>
                <m:t>&lt;</m:t>
              </m:r>
            </m:oMath>
            <w:r>
              <w:t xml:space="preserve">0.001</w:t>
            </w:r>
          </w:p>
        </w:tc>
      </w:tr>
      <w:tr>
        <w:tc>
          <w:tcPr/>
          <w:p>
            <w:pPr>
              <w:pStyle w:val="Compact"/>
              <w:jc w:val="left"/>
            </w:pPr>
            <w:r>
              <w:t xml:space="preserve">Logistic Regression</w:t>
            </w:r>
          </w:p>
        </w:tc>
        <w:tc>
          <w:tcPr/>
          <w:p>
            <w:pPr>
              <w:pStyle w:val="Compact"/>
              <w:jc w:val="center"/>
            </w:pPr>
            <w:r>
              <w:t xml:space="preserve">0.741</w:t>
            </w:r>
          </w:p>
        </w:tc>
        <w:tc>
          <w:tcPr/>
          <w:p>
            <w:pPr>
              <w:pStyle w:val="Compact"/>
              <w:jc w:val="center"/>
            </w:pPr>
            <w:r>
              <w:t xml:space="preserve">0.705</w:t>
            </w:r>
          </w:p>
        </w:tc>
        <w:tc>
          <w:tcPr/>
          <w:p>
            <w:pPr>
              <w:pStyle w:val="Compact"/>
              <w:jc w:val="center"/>
            </w:pPr>
            <w:r>
              <w:t xml:space="preserve">0.652</w:t>
            </w:r>
          </w:p>
        </w:tc>
        <w:tc>
          <w:tcPr/>
          <w:p>
            <w:pPr>
              <w:pStyle w:val="Compact"/>
              <w:jc w:val="center"/>
            </w:pPr>
            <w:r>
              <w:t xml:space="preserve">0.650</w:t>
            </w:r>
          </w:p>
        </w:tc>
        <w:tc>
          <w:tcPr/>
          <w:p>
            <w:pPr>
              <w:pStyle w:val="Compact"/>
              <w:jc w:val="center"/>
            </w:pPr>
            <w:r>
              <w:t xml:space="preserve">1.45 (1.23–1.71)</w:t>
            </w:r>
          </w:p>
        </w:tc>
        <w:tc>
          <w:tcPr/>
          <w:p>
            <w:pPr>
              <w:pStyle w:val="Compact"/>
              <w:jc w:val="center"/>
            </w:pPr>
            <m:oMath>
              <m:r>
                <m:rPr>
                  <m:sty m:val="p"/>
                </m:rPr>
                <m:t>&lt;</m:t>
              </m:r>
            </m:oMath>
            <w:r>
              <w:t xml:space="preserve">0.001</w:t>
            </w:r>
          </w:p>
        </w:tc>
      </w:tr>
      <w:tr>
        <w:tc>
          <w:tcPr/>
          <w:p>
            <w:pPr>
              <w:pStyle w:val="Compact"/>
              <w:jc w:val="left"/>
            </w:pPr>
            <w:r>
              <w:t xml:space="preserve">Gradient Boosting</w:t>
            </w:r>
          </w:p>
        </w:tc>
        <w:tc>
          <w:tcPr/>
          <w:p>
            <w:pPr>
              <w:pStyle w:val="Compact"/>
              <w:jc w:val="center"/>
            </w:pPr>
            <w:r>
              <w:t xml:space="preserve">0.742</w:t>
            </w:r>
          </w:p>
        </w:tc>
        <w:tc>
          <w:tcPr/>
          <w:p>
            <w:pPr>
              <w:pStyle w:val="Compact"/>
              <w:jc w:val="center"/>
            </w:pPr>
            <w:r>
              <w:t xml:space="preserve">0.698</w:t>
            </w:r>
          </w:p>
        </w:tc>
        <w:tc>
          <w:tcPr/>
          <w:p>
            <w:pPr>
              <w:pStyle w:val="Compact"/>
              <w:jc w:val="center"/>
            </w:pPr>
            <w:r>
              <w:t xml:space="preserve">0.685</w:t>
            </w:r>
          </w:p>
        </w:tc>
        <w:tc>
          <w:tcPr/>
          <w:p>
            <w:pPr>
              <w:pStyle w:val="Compact"/>
              <w:jc w:val="center"/>
            </w:pPr>
            <w:r>
              <w:t xml:space="preserve">0.650</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AdaBoost</w:t>
            </w:r>
          </w:p>
        </w:tc>
        <w:tc>
          <w:tcPr/>
          <w:p>
            <w:pPr>
              <w:pStyle w:val="Compact"/>
              <w:jc w:val="center"/>
            </w:pPr>
            <w:r>
              <w:t xml:space="preserve">0.743</w:t>
            </w:r>
          </w:p>
        </w:tc>
        <w:tc>
          <w:tcPr/>
          <w:p>
            <w:pPr>
              <w:pStyle w:val="Compact"/>
              <w:jc w:val="center"/>
            </w:pPr>
            <w:r>
              <w:t xml:space="preserve">0.657</w:t>
            </w:r>
          </w:p>
        </w:tc>
        <w:tc>
          <w:tcPr/>
          <w:p>
            <w:pPr>
              <w:pStyle w:val="Compact"/>
              <w:jc w:val="center"/>
            </w:pPr>
            <w:r>
              <w:t xml:space="preserve">0.526</w:t>
            </w:r>
          </w:p>
        </w:tc>
        <w:tc>
          <w:tcPr/>
          <w:p>
            <w:pPr>
              <w:pStyle w:val="Compact"/>
              <w:jc w:val="center"/>
            </w:pPr>
            <w:r>
              <w:rPr>
                <w:b/>
                <w:bCs/>
              </w:rPr>
              <w:t xml:space="preserve">0.607</w:t>
            </w:r>
          </w:p>
        </w:tc>
        <w:tc>
          <w:tcPr/>
          <w:p>
            <w:pPr>
              <w:pStyle w:val="Compact"/>
              <w:jc w:val="center"/>
            </w:pPr>
            <w:r>
              <w:rPr>
                <w:b/>
                <w:bCs/>
              </w:rPr>
              <w:t xml:space="preserve">1.43 (1.21–1.70)</w:t>
            </w:r>
          </w:p>
        </w:tc>
        <w:tc>
          <w:tcPr/>
          <w:p>
            <w:pPr>
              <w:pStyle w:val="Compact"/>
              <w:jc w:val="center"/>
            </w:pPr>
            <m:oMath>
              <m:r>
                <m:rPr>
                  <m:sty m:val="p"/>
                </m:rPr>
                <m:t>&lt;</m:t>
              </m:r>
            </m:oMath>
            <w:r>
              <w:rPr>
                <w:b/>
                <w:bCs/>
              </w:rPr>
              <w:t xml:space="preserve">0.001</w:t>
            </w:r>
          </w:p>
        </w:tc>
      </w:tr>
      <w:tr>
        <w:tc>
          <w:tcPr/>
          <w:p>
            <w:pPr>
              <w:pStyle w:val="Compact"/>
              <w:jc w:val="left"/>
            </w:pPr>
            <w:r>
              <w:t xml:space="preserve">K-Nearest Neighbors</w:t>
            </w:r>
          </w:p>
        </w:tc>
        <w:tc>
          <w:tcPr/>
          <w:p>
            <w:pPr>
              <w:pStyle w:val="Compact"/>
              <w:jc w:val="center"/>
            </w:pPr>
            <w:r>
              <w:t xml:space="preserve">0.689</w:t>
            </w:r>
          </w:p>
        </w:tc>
        <w:tc>
          <w:tcPr/>
          <w:p>
            <w:pPr>
              <w:pStyle w:val="Compact"/>
              <w:jc w:val="center"/>
            </w:pPr>
            <w:r>
              <w:t xml:space="preserve">0.654</w:t>
            </w:r>
          </w:p>
        </w:tc>
        <w:tc>
          <w:tcPr/>
          <w:p>
            <w:pPr>
              <w:pStyle w:val="Compact"/>
              <w:jc w:val="center"/>
            </w:pPr>
            <w:r>
              <w:t xml:space="preserve">0.645</w:t>
            </w:r>
          </w:p>
        </w:tc>
        <w:tc>
          <w:tcPr/>
          <w:p>
            <w:pPr>
              <w:pStyle w:val="Compact"/>
              <w:jc w:val="center"/>
            </w:pPr>
            <w:r>
              <w:t xml:space="preserve">0.620</w:t>
            </w:r>
          </w:p>
        </w:tc>
        <w:tc>
          <w:tcPr/>
          <w:p>
            <w:pPr>
              <w:pStyle w:val="Compact"/>
              <w:jc w:val="center"/>
            </w:pPr>
            <w:r>
              <w:t xml:space="preserve">1.37 (1.15–1.64)</w:t>
            </w:r>
          </w:p>
        </w:tc>
        <w:tc>
          <w:tcPr/>
          <w:p>
            <w:pPr>
              <w:pStyle w:val="Compact"/>
              <w:jc w:val="center"/>
            </w:pPr>
            <m:oMath>
              <m:r>
                <m:rPr>
                  <m:sty m:val="p"/>
                </m:rPr>
                <m:t>&lt;</m:t>
              </m:r>
            </m:oMath>
            <w:r>
              <w:t xml:space="preserve">0.001</w:t>
            </w:r>
          </w:p>
        </w:tc>
      </w:tr>
      <w:tr>
        <w:tc>
          <w:tcPr/>
          <w:p>
            <w:pPr>
              <w:pStyle w:val="Compact"/>
              <w:jc w:val="left"/>
            </w:pPr>
            <w:r>
              <w:t xml:space="preserve">Decision Tree</w:t>
            </w:r>
          </w:p>
        </w:tc>
        <w:tc>
          <w:tcPr/>
          <w:p>
            <w:pPr>
              <w:pStyle w:val="Compact"/>
              <w:jc w:val="center"/>
            </w:pPr>
            <w:r>
              <w:t xml:space="preserve">0.612</w:t>
            </w:r>
          </w:p>
        </w:tc>
        <w:tc>
          <w:tcPr/>
          <w:p>
            <w:pPr>
              <w:pStyle w:val="Compact"/>
              <w:jc w:val="center"/>
            </w:pPr>
            <w:r>
              <w:t xml:space="preserve">0.598</w:t>
            </w:r>
          </w:p>
        </w:tc>
        <w:tc>
          <w:tcPr/>
          <w:p>
            <w:pPr>
              <w:pStyle w:val="Compact"/>
              <w:jc w:val="center"/>
            </w:pPr>
            <w:r>
              <w:t xml:space="preserve">0.601</w:t>
            </w:r>
          </w:p>
        </w:tc>
        <w:tc>
          <w:tcPr/>
          <w:p>
            <w:pPr>
              <w:pStyle w:val="Compact"/>
              <w:jc w:val="center"/>
            </w:pPr>
            <w:r>
              <w:t xml:space="preserve">0.564</w:t>
            </w:r>
          </w:p>
        </w:tc>
        <w:tc>
          <w:tcPr/>
          <w:p>
            <w:pPr>
              <w:pStyle w:val="Compact"/>
              <w:jc w:val="center"/>
            </w:pPr>
            <w:r>
              <w:t xml:space="preserve">1.29 (1.10–1.51)</w:t>
            </w:r>
          </w:p>
        </w:tc>
        <w:tc>
          <w:tcPr/>
          <w:p>
            <w:pPr>
              <w:pStyle w:val="Compact"/>
              <w:jc w:val="center"/>
            </w:pPr>
            <w:r>
              <w:t xml:space="preserve">0.002</w:t>
            </w:r>
          </w:p>
        </w:tc>
      </w:tr>
      <w:tr>
        <w:tc>
          <w:tcPr/>
          <w:p>
            <w:pPr>
              <w:pStyle w:val="Compact"/>
              <w:jc w:val="left"/>
            </w:pPr>
            <w:r>
              <w:t xml:space="preserve">LASSO Cox</w:t>
            </w:r>
          </w:p>
        </w:tc>
        <w:tc>
          <w:tcPr/>
          <w:p>
            <w:pPr>
              <w:pStyle w:val="Compact"/>
              <w:jc w:val="center"/>
            </w:pPr>
            <w:r>
              <w:t xml:space="preserve">0.725</w:t>
            </w:r>
          </w:p>
        </w:tc>
        <w:tc>
          <w:tcPr/>
          <w:p>
            <w:pPr>
              <w:pStyle w:val="Compact"/>
              <w:jc w:val="center"/>
            </w:pPr>
            <w:r>
              <w:t xml:space="preserve">0.686</w:t>
            </w:r>
          </w:p>
        </w:tc>
        <w:tc>
          <w:tcPr/>
          <w:p>
            <w:pPr>
              <w:pStyle w:val="Compact"/>
              <w:jc w:val="center"/>
            </w:pPr>
            <w:r>
              <w:t xml:space="preserve">0.629</w:t>
            </w:r>
          </w:p>
        </w:tc>
        <w:tc>
          <w:tcPr/>
          <w:p>
            <w:pPr>
              <w:pStyle w:val="Compact"/>
              <w:jc w:val="center"/>
            </w:pPr>
            <w:r>
              <w:t xml:space="preserve">0.558</w:t>
            </w:r>
          </w:p>
        </w:tc>
        <w:tc>
          <w:tcPr/>
          <w:p>
            <w:pPr>
              <w:pStyle w:val="Compact"/>
              <w:jc w:val="center"/>
            </w:pPr>
            <w:r>
              <w:t xml:space="preserve">1.52 (1.39–1.66)</w:t>
            </w:r>
          </w:p>
        </w:tc>
        <w:tc>
          <w:tcPr/>
          <w:p>
            <w:pPr>
              <w:pStyle w:val="Compact"/>
              <w:jc w:val="center"/>
            </w:pPr>
            <m:oMath>
              <m:r>
                <m:rPr>
                  <m:sty m:val="p"/>
                </m:rPr>
                <m:t>&lt;</m:t>
              </m:r>
            </m:oMath>
            <w:r>
              <w:t xml:space="preserve">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0"/>
    <w:bookmarkStart w:id="41" w:name="subsec:res_nested_cv"/>
    <w:p>
      <w:pPr>
        <w:pStyle w:val="Heading2"/>
      </w:pPr>
      <w:r>
        <w:t xml:space="preserve">Robust Feature Selection via Nested Cross-Validation</w:t>
      </w:r>
    </w:p>
    <w:p>
      <w:pPr>
        <w:pStyle w:val="FirstParagraph"/>
      </w:pPr>
      <w:r>
        <w:t xml:space="preserve">Nested cross-validation identified 91 stable features selected in 100% of outer folds, with 212 features showing</w:t>
      </w:r>
      <w:r>
        <w:t xml:space="preserve"> </w:t>
      </w:r>
      <m:oMath>
        <m:r>
          <m:rPr>
            <m:sty m:val="p"/>
          </m:rPr>
          <m:t>&gt;</m:t>
        </m:r>
      </m:oMath>
      <w:r>
        <w:t xml:space="preserve">60% selection frequency (Supplementary Figure S2, Supplementary Table S4). These features were used as a stability-prioritized set for downstream exploratory score construction. Among recurrent candidates,</w:t>
      </w:r>
      <w:r>
        <w:t xml:space="preserve"> </w:t>
      </w:r>
      <w:r>
        <w:rPr>
          <w:i/>
          <w:iCs/>
        </w:rPr>
        <w:t xml:space="preserve">ACP5</w:t>
      </w:r>
      <w:r>
        <w:t xml:space="preserve">,</w:t>
      </w:r>
      <w:r>
        <w:t xml:space="preserve"> </w:t>
      </w:r>
      <w:r>
        <w:rPr>
          <w:i/>
          <w:iCs/>
        </w:rPr>
        <w:t xml:space="preserve">KCNAB2</w:t>
      </w:r>
      <w:r>
        <w:t xml:space="preserve">, and</w:t>
      </w:r>
      <w:r>
        <w:t xml:space="preserve"> </w:t>
      </w:r>
      <w:r>
        <w:rPr>
          <w:i/>
          <w:iCs/>
        </w:rPr>
        <w:t xml:space="preserve">BOK</w:t>
      </w:r>
      <w:r>
        <w:t xml:space="preserve"> </w:t>
      </w:r>
      <w:r>
        <w:t xml:space="preserve">provided macrophage-regulatory, ion-channel-related, and apoptotic-context signals, respectively. Feature selection stability analysis confirmed separation between highly stable and less consistent features (Supplementary Figure S2A).</w:t>
      </w:r>
    </w:p>
    <w:bookmarkEnd w:id="41"/>
    <w:bookmarkStart w:id="46" w:name="subsec:res_mr"/>
    <w:p>
      <w:pPr>
        <w:pStyle w:val="Heading2"/>
      </w:pPr>
      <w:r>
        <w:t xml:space="preserve">Mendelian Randomization Prioritizes a Candidate Gene Set in NSCLC</w:t>
      </w:r>
    </w:p>
    <w:p>
      <w:pPr>
        <w:pStyle w:val="FirstParagraph"/>
      </w:pPr>
      <w:r>
        <w:t xml:space="preserve">Mendelian randomization prioritized</w:t>
      </w:r>
      <w:r>
        <w:t xml:space="preserve"> </w:t>
      </w:r>
      <w:r>
        <w:rPr>
          <w:b/>
          <w:bCs/>
        </w:rPr>
        <w:t xml:space="preserve">198 genes as expression-linked candidates</w:t>
      </w:r>
      <w:r>
        <w:t xml:space="preserve"> </w:t>
      </w:r>
      <w:r>
        <w:t xml:space="preserve">associated with lung-cancer immune-context phenotypes (Figure </w:t>
      </w:r>
      <w:hyperlink w:anchor="fig:2">
        <w:r>
          <w:rPr>
            <w:rStyle w:val="Hyperlink"/>
          </w:rPr>
          <w:t xml:space="preserve">2</w:t>
        </w:r>
      </w:hyperlink>
      <w:r>
        <w:t xml:space="preserve">, Supplementary Figures S9–S10, Supplementary Tables S7 and S11). The diagnostics suggested that some candidates had usable instruments, while others should be treated cautiously because of heterogeneity, pleiotropy, limited colocalization support, or bidirectional signals. These results are better viewed as a prioritization layer than as definitive causal proof.</w:t>
      </w:r>
    </w:p>
    <w:bookmarkStart w:id="45" w:name="fig:2"/>
    <w:p>
      <w:pPr>
        <w:pStyle w:val="CaptionedFigure"/>
      </w:pPr>
      <w:r>
        <w:drawing>
          <wp:inline>
            <wp:extent cx="5067300" cy="4147272"/>
            <wp:effectExtent b="0" l="0" r="0" t="0"/>
            <wp:docPr descr="" title="" id="43" name="Picture"/>
            <a:graphic>
              <a:graphicData uri="http://schemas.openxmlformats.org/drawingml/2006/picture">
                <pic:pic>
                  <pic:nvPicPr>
                    <pic:cNvPr descr="../figures/docx_png/Figure2.png" id="44" name="Picture"/>
                    <pic:cNvPicPr>
                      <a:picLocks noChangeArrowheads="1" noChangeAspect="1"/>
                    </pic:cNvPicPr>
                  </pic:nvPicPr>
                  <pic:blipFill>
                    <a:blip r:embed="rId42"/>
                    <a:stretch>
                      <a:fillRect/>
                    </a:stretch>
                  </pic:blipFill>
                  <pic:spPr bwMode="auto">
                    <a:xfrm>
                      <a:off x="0" y="0"/>
                      <a:ext cx="5067300" cy="4147272"/>
                    </a:xfrm>
                    <a:prstGeom prst="rect">
                      <a:avLst/>
                    </a:prstGeom>
                    <a:noFill/>
                    <a:ln w="9525">
                      <a:noFill/>
                      <a:headEnd/>
                      <a:tailEnd/>
                    </a:ln>
                  </pic:spPr>
                </pic:pic>
              </a:graphicData>
            </a:graphic>
          </wp:inline>
        </w:drawing>
      </w:r>
    </w:p>
    <w:p>
      <w:pPr>
        <w:pStyle w:val="ImageCaption"/>
      </w:pPr>
      <w:r>
        <w:rPr>
          <w:b/>
          <w:bCs/>
        </w:rPr>
        <w:t xml:space="preserve">Figure 2. MR-based gene prioritization.</w:t>
      </w:r>
      <w:r>
        <w:t xml:space="preserve"> </w:t>
      </w:r>
      <w:r>
        <w:rPr>
          <w:b/>
          <w:bCs/>
        </w:rPr>
        <w:t xml:space="preserve">Panel A, MR prioritizes C1Q-relevant candidate axes associated with immune phenotype.</w:t>
      </w:r>
      <w:r>
        <w:t xml:space="preserve"> </w:t>
      </w:r>
      <w:r>
        <w:rPr>
          <w:b/>
          <w:bCs/>
        </w:rPr>
        <w:t xml:space="preserve">Panel B, Sensitivity analyses</w:t>
      </w:r>
      <w:r>
        <w:t xml:space="preserve"> </w:t>
      </w:r>
      <w:r>
        <w:t xml:space="preserve">using IVW, MR-Egger, and weighted median estimates.</w:t>
      </w:r>
      <w:r>
        <w:t xml:space="preserve"> </w:t>
      </w:r>
      <w:r>
        <w:rPr>
          <w:b/>
          <w:bCs/>
        </w:rPr>
        <w:t xml:space="preserve">Panel C, Leave-one-out analysis</w:t>
      </w:r>
      <w:r>
        <w:t xml:space="preserve"> </w:t>
      </w:r>
      <w:r>
        <w:t xml:space="preserve">assesses single-SNP influence.</w:t>
      </w:r>
      <w:r>
        <w:t xml:space="preserve"> </w:t>
      </w:r>
      <w:r>
        <w:rPr>
          <w:b/>
          <w:bCs/>
        </w:rPr>
        <w:t xml:space="preserve">Panel D, Bidirectional and directionality checks</w:t>
      </w:r>
      <w:r>
        <w:t xml:space="preserve"> </w:t>
      </w:r>
      <w:r>
        <w:t xml:space="preserve">identify candidates requiring cautious interpretation.</w:t>
      </w:r>
    </w:p>
    <w:bookmarkEnd w:id="45"/>
    <w:p>
      <w:pPr>
        <w:pStyle w:val="BodyText"/>
      </w:pPr>
      <w:r>
        <w:rPr>
          <w:i/>
          <w:iCs/>
        </w:rPr>
        <w:t xml:space="preserve">KCNAB2</w:t>
      </w:r>
      <w:r>
        <w:t xml:space="preserve">,</w:t>
      </w:r>
      <w:r>
        <w:t xml:space="preserve"> </w:t>
      </w:r>
      <w:r>
        <w:rPr>
          <w:i/>
          <w:iCs/>
        </w:rPr>
        <w:t xml:space="preserve">C1QA</w:t>
      </w:r>
      <w:r>
        <w:t xml:space="preserve">,</w:t>
      </w:r>
      <w:r>
        <w:t xml:space="preserve"> </w:t>
      </w:r>
      <w:r>
        <w:rPr>
          <w:i/>
          <w:iCs/>
        </w:rPr>
        <w:t xml:space="preserve">BOK</w:t>
      </w:r>
      <w:r>
        <w:t xml:space="preserve">,</w:t>
      </w:r>
      <w:r>
        <w:t xml:space="preserve"> </w:t>
      </w:r>
      <w:r>
        <w:rPr>
          <w:i/>
          <w:iCs/>
        </w:rPr>
        <w:t xml:space="preserve">ACP5</w:t>
      </w:r>
      <w:r>
        <w:t xml:space="preserve">, and</w:t>
      </w:r>
      <w:r>
        <w:t xml:space="preserve"> </w:t>
      </w:r>
      <w:r>
        <w:rPr>
          <w:i/>
          <w:iCs/>
        </w:rPr>
        <w:t xml:space="preserve">HIST1H4F</w:t>
      </w:r>
      <w:r>
        <w:t xml:space="preserve"> </w:t>
      </w:r>
      <w:r>
        <w:t xml:space="preserve">were among the better-ranked expression-linked candidates. Leave-one-out analyses suggested that the highlighted signals were not dominated by a single instrument. Functional enrichment of the prioritized set was strongest for immune-response, T-cell receptor, cytokine-receptor, and macrophage-context pathways. These outputs were used to rank candidates for follow-up and were not interpreted as quantitative evidence of mechanism.</w:t>
      </w:r>
    </w:p>
    <w:bookmarkEnd w:id="46"/>
    <w:bookmarkStart w:id="55" w:name="subsec:res_spatial"/>
    <w:p>
      <w:pPr>
        <w:pStyle w:val="Heading2"/>
      </w:pPr>
      <w:r>
        <w:t xml:space="preserve">Patient-Limited Spatial Mapping of C1Q/SPP1 Context</w:t>
      </w:r>
    </w:p>
    <w:p>
      <w:pPr>
        <w:pStyle w:val="FirstParagraph"/>
      </w:pPr>
      <w:r>
        <w:rPr>
          <w:b/>
          <w:bCs/>
        </w:rPr>
        <w:t xml:space="preserve">Spatial mapping supports non-random C1Q clustering in the available sections.</w:t>
      </w:r>
      <w:r>
        <w:t xml:space="preserve"> </w:t>
      </w:r>
      <w:r>
        <w:t xml:space="preserve">Using both 10x Visium and CosMx SMI platforms, we observed that C1Q-family expression was spatially clustered rather than uniformly distributed within the available TME sections (Figures </w:t>
      </w:r>
      <w:hyperlink w:anchor="fig:3">
        <w:r>
          <w:rPr>
            <w:rStyle w:val="Hyperlink"/>
          </w:rPr>
          <w:t xml:space="preserve">3</w:t>
        </w:r>
      </w:hyperlink>
      <w:r>
        <w:t xml:space="preserve">–</w:t>
      </w:r>
      <w:hyperlink w:anchor="fig:4">
        <w:r>
          <w:rPr>
            <w:rStyle w:val="Hyperlink"/>
          </w:rPr>
          <w:t xml:space="preserve">4</w:t>
        </w:r>
      </w:hyperlink>
      <w:r>
        <w:t xml:space="preserve">, Table </w:t>
      </w:r>
      <w:hyperlink w:anchor="tab:spatial_genes">
        <w:r>
          <w:rPr>
            <w:rStyle w:val="Hyperlink"/>
          </w:rPr>
          <w:t xml:space="preserve">[tab:spatial_genes]</w:t>
        </w:r>
      </w:hyperlink>
      <w:r>
        <w:t xml:space="preserve">, Supplementary Table S5). C1Q family members exhibited moderate spatial autocorrelation among immune genes:</w:t>
      </w:r>
    </w:p>
    <w:p>
      <w:pPr>
        <w:numPr>
          <w:ilvl w:val="0"/>
          <w:numId w:val="1003"/>
        </w:numPr>
      </w:pPr>
      <w:r>
        <w:rPr>
          <w:b/>
          <w:bCs/>
        </w:rPr>
        <w:t xml:space="preserve">C1QA</w:t>
      </w:r>
      <w:r>
        <w:t xml:space="preserve">: Moran’s I = 0.386 (</w:t>
      </w:r>
      <m:oMath>
        <m:r>
          <m:t>P</m:t>
        </m:r>
        <m:r>
          <m:rPr>
            <m:sty m:val="p"/>
          </m:rPr>
          <m:t>&lt;</m:t>
        </m:r>
        <m:r>
          <m:t>0.001</m:t>
        </m:r>
      </m:oMath>
      <w:r>
        <w:t xml:space="preserve">)</w:t>
      </w:r>
    </w:p>
    <w:p>
      <w:pPr>
        <w:numPr>
          <w:ilvl w:val="0"/>
          <w:numId w:val="1003"/>
        </w:numPr>
      </w:pPr>
      <w:r>
        <w:rPr>
          <w:b/>
          <w:bCs/>
        </w:rPr>
        <w:t xml:space="preserve">C1QC</w:t>
      </w:r>
      <w:r>
        <w:t xml:space="preserve">: Moran’s I = 0.377 (</w:t>
      </w:r>
      <m:oMath>
        <m:r>
          <m:t>P</m:t>
        </m:r>
        <m:r>
          <m:rPr>
            <m:sty m:val="p"/>
          </m:rPr>
          <m:t>&lt;</m:t>
        </m:r>
        <m:r>
          <m:t>0.001</m:t>
        </m:r>
      </m:oMath>
      <w:r>
        <w:t xml:space="preserve">)</w:t>
      </w:r>
    </w:p>
    <w:p>
      <w:pPr>
        <w:numPr>
          <w:ilvl w:val="0"/>
          <w:numId w:val="1003"/>
        </w:numPr>
      </w:pPr>
      <w:r>
        <w:rPr>
          <w:b/>
          <w:bCs/>
        </w:rPr>
        <w:t xml:space="preserve">C1QB</w:t>
      </w:r>
      <w:r>
        <w:t xml:space="preserve">: Moran’s I = 0.355 (</w:t>
      </w:r>
      <m:oMath>
        <m:r>
          <m:t>P</m:t>
        </m:r>
        <m:r>
          <m:rPr>
            <m:sty m:val="p"/>
          </m:rPr>
          <m:t>&lt;</m:t>
        </m:r>
        <m:r>
          <m:t>0.001</m:t>
        </m:r>
      </m:oMath>
      <w:r>
        <w:t xml:space="preserve">)</w:t>
      </w:r>
    </w:p>
    <w:p>
      <w:pPr>
        <w:pStyle w:val="FirstParagraph"/>
      </w:pPr>
      <w:r>
        <w:t xml:space="preserve">Global analysis of 100 immune-related genes placed C1Q family members among the more spatially clustered immune genes, alongside UBXN10 (Moran’s I = 0.416). SPP1 showed stronger spatial autocorrelation (Moran’s I = 0.712,</w:t>
      </w:r>
      <w:r>
        <w:t xml:space="preserve"> </w:t>
      </w:r>
      <m:oMath>
        <m:r>
          <m:t>P</m:t>
        </m:r>
        <m:r>
          <m:rPr>
            <m:sty m:val="p"/>
          </m:rPr>
          <m:t>&lt;</m:t>
        </m:r>
        <m:r>
          <m:t>0.001</m:t>
        </m:r>
      </m:oMath>
      <w:r>
        <w:t xml:space="preserve">), consistent with a more spatially compartmentalized macrophage context.</w:t>
      </w:r>
    </w:p>
    <w:bookmarkStart w:id="50" w:name="fig:3"/>
    <w:p>
      <w:pPr>
        <w:pStyle w:val="CaptionedFigure"/>
      </w:pPr>
      <w:r>
        <w:drawing>
          <wp:inline>
            <wp:extent cx="5067300" cy="4017676"/>
            <wp:effectExtent b="0" l="0" r="0" t="0"/>
            <wp:docPr descr="" title="" id="48" name="Picture"/>
            <a:graphic>
              <a:graphicData uri="http://schemas.openxmlformats.org/drawingml/2006/picture">
                <pic:pic>
                  <pic:nvPicPr>
                    <pic:cNvPr descr="../figures/docx_png/Figure3.png" id="49" name="Picture"/>
                    <pic:cNvPicPr>
                      <a:picLocks noChangeArrowheads="1" noChangeAspect="1"/>
                    </pic:cNvPicPr>
                  </pic:nvPicPr>
                  <pic:blipFill>
                    <a:blip r:embed="rId47"/>
                    <a:stretch>
                      <a:fillRect/>
                    </a:stretch>
                  </pic:blipFill>
                  <pic:spPr bwMode="auto">
                    <a:xfrm>
                      <a:off x="0" y="0"/>
                      <a:ext cx="5067300" cy="4017676"/>
                    </a:xfrm>
                    <a:prstGeom prst="rect">
                      <a:avLst/>
                    </a:prstGeom>
                    <a:noFill/>
                    <a:ln w="9525">
                      <a:noFill/>
                      <a:headEnd/>
                      <a:tailEnd/>
                    </a:ln>
                  </pic:spPr>
                </pic:pic>
              </a:graphicData>
            </a:graphic>
          </wp:inline>
        </w:drawing>
      </w:r>
    </w:p>
    <w:p>
      <w:pPr>
        <w:pStyle w:val="ImageCaption"/>
      </w:pPr>
      <w:r>
        <w:rPr>
          <w:b/>
          <w:bCs/>
        </w:rPr>
        <w:t xml:space="preserve">Figure 3. Spatial clustering of the C1Q/SPP1 axis.</w:t>
      </w:r>
      <w:r>
        <w:t xml:space="preserve"> </w:t>
      </w:r>
      <w:r>
        <w:rPr>
          <w:b/>
          <w:bCs/>
        </w:rPr>
        <w:t xml:space="preserve">Panel A, Spatial clustering of C1Q expression</w:t>
      </w:r>
      <w:r>
        <w:t xml:space="preserve"> </w:t>
      </w:r>
      <w:r>
        <w:t xml:space="preserve">across tumor sections.</w:t>
      </w:r>
      <w:r>
        <w:t xml:space="preserve"> </w:t>
      </w:r>
      <w:r>
        <w:rPr>
          <w:b/>
          <w:bCs/>
        </w:rPr>
        <w:t xml:space="preserve">Panel B, C1Q spatial autocorrelation</w:t>
      </w:r>
      <w:r>
        <w:t xml:space="preserve"> </w:t>
      </w:r>
      <w:r>
        <w:t xml:space="preserve">quantified by Moran’s I.</w:t>
      </w:r>
      <w:r>
        <w:t xml:space="preserve"> </w:t>
      </w:r>
      <w:r>
        <w:rPr>
          <w:b/>
          <w:bCs/>
        </w:rPr>
        <w:t xml:space="preserve">Panel C, Comparison with SPP1-enriched macrophage compartments</w:t>
      </w:r>
      <w:r>
        <w:t xml:space="preserve"> </w:t>
      </w:r>
      <w:r>
        <w:t xml:space="preserve">shows distinct spatial organization.</w:t>
      </w:r>
      <w:r>
        <w:t xml:space="preserve"> </w:t>
      </w:r>
      <w:r>
        <w:rPr>
          <w:b/>
          <w:bCs/>
        </w:rPr>
        <w:t xml:space="preserve">Panel D, CosMx single-cell spatial data</w:t>
      </w:r>
      <w:r>
        <w:t xml:space="preserve"> </w:t>
      </w:r>
      <w:r>
        <w:t xml:space="preserve">provide context-level support for conservation of the pattern.</w:t>
      </w:r>
    </w:p>
    <w:bookmarkEnd w:id="50"/>
    <w:p>
      <w:pPr>
        <w:pStyle w:val="BodyText"/>
      </w:pPr>
      <w:r>
        <w:rPr>
          <w:b/>
          <w:bCs/>
        </w:rPr>
        <w:t xml:space="preserve">Neighborhood enrichment analysis</w:t>
      </w:r>
      <w:r>
        <w:t xml:space="preserve"> </w:t>
      </w:r>
      <w:r>
        <w:t xml:space="preserve">was used to describe local co-occurrence between C1Q-associated macrophage contexts and CD8-marker-positive contexts. The pairwise neighborhood contrasts shown in Figure </w:t>
      </w:r>
      <w:hyperlink w:anchor="fig:4">
        <w:r>
          <w:rPr>
            <w:rStyle w:val="Hyperlink"/>
          </w:rPr>
          <w:t xml:space="preserve">4</w:t>
        </w:r>
      </w:hyperlink>
      <w:r>
        <w:t xml:space="preserve">B were interpreted descriptively rather than as statistically significant enrichment. Separately, GigaTIME deconvolution linked C1Q regions to myeloid and T-cell marker enrichment, including CD14, CD163, CD68, and CD8-marker proxies (Figure </w:t>
      </w:r>
      <w:hyperlink w:anchor="fig:4">
        <w:r>
          <w:rPr>
            <w:rStyle w:val="Hyperlink"/>
          </w:rPr>
          <w:t xml:space="preserve">4</w:t>
        </w:r>
      </w:hyperlink>
      <w:r>
        <w:t xml:space="preserve">, Supplementary Figure S6, Supplementary Table S6). These spot/cell-level summaries were treated as marker-context evidence rather than patient-level inference. CD138-positive plasma-cell context was analyzed separately and is not treated as a macrophage marker.</w:t>
      </w:r>
    </w:p>
    <w:p>
      <w:pPr>
        <w:pStyle w:val="BodyText"/>
      </w:pPr>
      <w: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Start w:id="54" w:name="fig:4"/>
    <w:p>
      <w:pPr>
        <w:pStyle w:val="CaptionedFigure"/>
      </w:pPr>
      <w:r>
        <w:drawing>
          <wp:inline>
            <wp:extent cx="5067300" cy="3420591"/>
            <wp:effectExtent b="0" l="0" r="0" t="0"/>
            <wp:docPr descr="" title="" id="52" name="Picture"/>
            <a:graphic>
              <a:graphicData uri="http://schemas.openxmlformats.org/drawingml/2006/picture">
                <pic:pic>
                  <pic:nvPicPr>
                    <pic:cNvPr descr="../figures/docx_png/Figure4.png" id="53" name="Picture"/>
                    <pic:cNvPicPr>
                      <a:picLocks noChangeArrowheads="1" noChangeAspect="1"/>
                    </pic:cNvPicPr>
                  </pic:nvPicPr>
                  <pic:blipFill>
                    <a:blip r:embed="rId51"/>
                    <a:stretch>
                      <a:fillRect/>
                    </a:stretch>
                  </pic:blipFill>
                  <pic:spPr bwMode="auto">
                    <a:xfrm>
                      <a:off x="0" y="0"/>
                      <a:ext cx="5067300" cy="3420591"/>
                    </a:xfrm>
                    <a:prstGeom prst="rect">
                      <a:avLst/>
                    </a:prstGeom>
                    <a:noFill/>
                    <a:ln w="9525">
                      <a:noFill/>
                      <a:headEnd/>
                      <a:tailEnd/>
                    </a:ln>
                  </pic:spPr>
                </pic:pic>
              </a:graphicData>
            </a:graphic>
          </wp:inline>
        </w:drawing>
      </w:r>
    </w:p>
    <w:p>
      <w:pPr>
        <w:pStyle w:val="ImageCaption"/>
      </w:pPr>
      <w:r>
        <w:rPr>
          <w:b/>
          <w:bCs/>
        </w:rPr>
        <w:t xml:space="preserve">Figure 4. Spatial context of C1Q-associated macrophage states.</w:t>
      </w:r>
      <w:r>
        <w:t xml:space="preserve"> </w:t>
      </w:r>
      <w:r>
        <w:rPr>
          <w:b/>
          <w:bCs/>
        </w:rPr>
        <w:t xml:space="preserve">Panel A, Local proximity of C1Q-marker-positive macrophage contexts and CD8-marker-positive contexts.</w:t>
      </w:r>
      <w:r>
        <w:t xml:space="preserve"> </w:t>
      </w:r>
      <w:r>
        <w:rPr>
          <w:b/>
          <w:bCs/>
        </w:rPr>
        <w:t xml:space="preserve">Panel B, Neighborhood enrichment analysis</w:t>
      </w:r>
      <w:r>
        <w:t xml:space="preserve"> </w:t>
      </w:r>
      <w:r>
        <w:t xml:space="preserve">summarizes attraction/avoidance structure.</w:t>
      </w:r>
      <w:r>
        <w:t xml:space="preserve"> </w:t>
      </w:r>
      <w:r>
        <w:rPr>
          <w:b/>
          <w:bCs/>
        </w:rPr>
        <w:t xml:space="preserve">Panel C, Spatial correlation between C1Q and immune markers</w:t>
      </w:r>
      <w:r>
        <w:t xml:space="preserve"> </w:t>
      </w:r>
      <w:r>
        <w:t xml:space="preserve">supports context-level association.</w:t>
      </w:r>
      <w:r>
        <w:t xml:space="preserve"> </w:t>
      </w:r>
      <w:r>
        <w:rPr>
          <w:b/>
          <w:bCs/>
        </w:rPr>
        <w:t xml:space="preserve">Panel D, Spatial contrast between C1Q- and SPP1-enriched niches</w:t>
      </w:r>
      <w:r>
        <w:t xml:space="preserve"> </w:t>
      </w:r>
      <w:r>
        <w:t xml:space="preserve">delineates immune-active versus immune-excluded states.</w:t>
      </w:r>
    </w:p>
    <w:bookmarkEnd w:id="54"/>
    <w:bookmarkEnd w:id="55"/>
    <w:bookmarkStart w:id="60" w:name="subsec:res_virtual_ko"/>
    <w:p>
      <w:pPr>
        <w:pStyle w:val="Heading2"/>
      </w:pPr>
      <w:r>
        <w:t xml:space="preserve">Counterfactual Scoring Shows Dependency of the C1Q Module</w:t>
      </w:r>
    </w:p>
    <w:p>
      <w:pPr>
        <w:pStyle w:val="FirstParagraph"/>
      </w:pPr>
      <w:r>
        <w:t xml:space="preserve">To test whether the C1Q score was internally dependent on</w:t>
      </w:r>
      <w:r>
        <w:t xml:space="preserve"> </w:t>
      </w:r>
      <w:r>
        <w:rPr>
          <w:i/>
          <w:iCs/>
        </w:rPr>
        <w:t xml:space="preserve">C1QA</w:t>
      </w:r>
      <w:r>
        <w:t xml:space="preserve">, we performed a counterfactual scoring analysis and re-estimated spatial and clinical metrics (Figure </w:t>
      </w:r>
      <w:hyperlink w:anchor="fig:5">
        <w:r>
          <w:rPr>
            <w:rStyle w:val="Hyperlink"/>
          </w:rPr>
          <w:t xml:space="preserve">5</w:t>
        </w:r>
      </w:hyperlink>
      <w:r>
        <w:t xml:space="preserve">, Supplementary Figures S11–S12). The computational attenuation reduced the C1Q program score (mean C1Q score: 5.179</w:t>
      </w:r>
      <w:r>
        <w:t xml:space="preserve"> </w:t>
      </w:r>
      <m:oMath>
        <m:r>
          <m:rPr>
            <m:sty m:val="p"/>
          </m:rPr>
          <m:t>→</m:t>
        </m:r>
      </m:oMath>
      <w:r>
        <w:t xml:space="preserve"> </w:t>
      </w:r>
      <w:r>
        <w:t xml:space="preserve">2.628) and decreased Moran’s I (0.660</w:t>
      </w:r>
      <w:r>
        <w:t xml:space="preserve"> </w:t>
      </w:r>
      <m:oMath>
        <m:r>
          <m:rPr>
            <m:sty m:val="p"/>
          </m:rPr>
          <m:t>→</m:t>
        </m:r>
      </m:oMath>
      <w:r>
        <w:t xml:space="preserve"> </w:t>
      </w:r>
      <w:r>
        <w:t xml:space="preserve">0.401;</w:t>
      </w:r>
      <w:r>
        <w:t xml:space="preserve"> </w:t>
      </w:r>
      <m:oMath>
        <m:r>
          <m:rPr>
            <m:sty m:val="p"/>
          </m:rPr>
          <m:t>Δ</m:t>
        </m:r>
      </m:oMath>
      <w:r>
        <w:t xml:space="preserve"> </w:t>
      </w:r>
      <w:r>
        <w:t xml:space="preserve">= -0.259). This indicates score dependency and module sensitivity, not experimental proof of biological perturbation.</w:t>
      </w:r>
    </w:p>
    <w:p>
      <w:pPr>
        <w:pStyle w:val="BodyText"/>
      </w:pPr>
      <w:r>
        <w:t xml:space="preserve">Additional sensitivity analyses showed a coherent descriptive pattern across several views. Dose-response modeling showed monotonic shifts across C1Q quartiles, bidirectional MR identified forward and reverse signals for some candidates, spatial-scale analysis suggested the strongest local association at the shortest tested radius, and specificity testing ranked the C1Q axis among the better-supported immune modules relative to non-C1Q controls (Supplementary Figure S12). These analyses support internal consistency of the score and do not establish biological perturbation.</w:t>
      </w:r>
    </w:p>
    <w:p>
      <w:pPr>
        <w:pStyle w:val="BodyText"/>
      </w:pPr>
      <w:r>
        <w:t xml:space="preserve">The main visualization is summarized in Figure </w:t>
      </w:r>
      <w:hyperlink w:anchor="fig:5">
        <w:r>
          <w:rPr>
            <w:rStyle w:val="Hyperlink"/>
          </w:rPr>
          <w:t xml:space="preserve">5</w:t>
        </w:r>
      </w:hyperlink>
      <w:r>
        <w:t xml:space="preserve">, with additional network-summary sensitivity outputs provided in Supplementary Figures S11–S12. These analyses are sensitivity checks rather than experimental perturbations.</w:t>
      </w:r>
    </w:p>
    <w:bookmarkStart w:id="59" w:name="fig:5"/>
    <w:p>
      <w:pPr>
        <w:pStyle w:val="CaptionedFigure"/>
      </w:pPr>
      <w:r>
        <w:drawing>
          <wp:inline>
            <wp:extent cx="5067300" cy="4080535"/>
            <wp:effectExtent b="0" l="0" r="0" t="0"/>
            <wp:docPr descr="" title="" id="57" name="Picture"/>
            <a:graphic>
              <a:graphicData uri="http://schemas.openxmlformats.org/drawingml/2006/picture">
                <pic:pic>
                  <pic:nvPicPr>
                    <pic:cNvPr descr="../figures/docx_png/Figure5.png" id="58" name="Picture"/>
                    <pic:cNvPicPr>
                      <a:picLocks noChangeArrowheads="1" noChangeAspect="1"/>
                    </pic:cNvPicPr>
                  </pic:nvPicPr>
                  <pic:blipFill>
                    <a:blip r:embed="rId56"/>
                    <a:stretch>
                      <a:fillRect/>
                    </a:stretch>
                  </pic:blipFill>
                  <pic:spPr bwMode="auto">
                    <a:xfrm>
                      <a:off x="0" y="0"/>
                      <a:ext cx="5067300" cy="4080535"/>
                    </a:xfrm>
                    <a:prstGeom prst="rect">
                      <a:avLst/>
                    </a:prstGeom>
                    <a:noFill/>
                    <a:ln w="9525">
                      <a:noFill/>
                      <a:headEnd/>
                      <a:tailEnd/>
                    </a:ln>
                  </pic:spPr>
                </pic:pic>
              </a:graphicData>
            </a:graphic>
          </wp:inline>
        </w:drawing>
      </w:r>
    </w:p>
    <w:p>
      <w:pPr>
        <w:pStyle w:val="ImageCaption"/>
      </w:pPr>
      <w:r>
        <w:rPr>
          <w:b/>
          <w:bCs/>
        </w:rPr>
        <w:t xml:space="preserve">Figure 5. Counterfactual scoring sensitivity of the C1Q axis.</w:t>
      </w:r>
      <w:r>
        <w:t xml:space="preserve"> </w:t>
      </w:r>
      <w:r>
        <w:rPr>
          <w:b/>
          <w:bCs/>
        </w:rPr>
        <w:t xml:space="preserve">Panel A, Computational C1Q-axis attenuation reduces composite axis activity.</w:t>
      </w:r>
      <w:r>
        <w:t xml:space="preserve"> </w:t>
      </w:r>
      <w:r>
        <w:rPr>
          <w:b/>
          <w:bCs/>
        </w:rPr>
        <w:t xml:space="preserve">Panel B, Spatial hotspot structure shifts after score recomputation.</w:t>
      </w:r>
      <w:r>
        <w:t xml:space="preserve"> </w:t>
      </w:r>
      <w:r>
        <w:rPr>
          <w:b/>
          <w:bCs/>
        </w:rPr>
        <w:t xml:space="preserve">Panel C, CD8-proxy proximity summaries show threshold-like sensitivity to C1Q-axis attenuation.</w:t>
      </w:r>
      <w:r>
        <w:t xml:space="preserve"> </w:t>
      </w:r>
      <w:r>
        <w:rPr>
          <w:b/>
          <w:bCs/>
        </w:rPr>
        <w:t xml:space="preserve">Panel D, Risk-score distributions shift after counterfactual score recomputation.</w:t>
      </w:r>
      <w:r>
        <w:t xml:space="preserve"> </w:t>
      </w:r>
      <w:r>
        <w:t xml:space="preserve">These analyses test internal score dependency and should not be interpreted as experimental gene attenuation or causal perturbation.</w:t>
      </w:r>
    </w:p>
    <w:bookmarkEnd w:id="59"/>
    <w:bookmarkEnd w:id="60"/>
    <w:bookmarkStart w:id="69" w:name="subsec:res_ml"/>
    <w:p>
      <w:pPr>
        <w:pStyle w:val="Heading2"/>
      </w:pPr>
      <w:r>
        <w:t xml:space="preserve">Retrospective Score Behavior and Outcome Traceability</w:t>
      </w:r>
    </w:p>
    <w:p>
      <w:pPr>
        <w:pStyle w:val="FirstParagraph"/>
      </w:pPr>
      <w:r>
        <w:rPr>
          <w:b/>
          <w:bCs/>
        </w:rPr>
        <w:t xml:space="preserve">The C1Q/SPP1 feature set showed retrospective survival-associated score behavior.</w:t>
      </w:r>
      <w:r>
        <w:t xml:space="preserve"> </w:t>
      </w:r>
      <w:r>
        <w:t xml:space="preserve">Evaluation across candidate algorithms showed that different methods optimized different metrics (Table </w:t>
      </w:r>
      <w:hyperlink w:anchor="tab:model_performance">
        <w:r>
          <w:rPr>
            <w:rStyle w:val="Hyperlink"/>
          </w:rPr>
          <w:t xml:space="preserve">[tab:model_performance]</w:t>
        </w:r>
      </w:hyperlink>
      <w:r>
        <w:t xml:space="preserve">, Figure </w:t>
      </w:r>
      <w:hyperlink w:anchor="fig:6">
        <w:r>
          <w:rPr>
            <w:rStyle w:val="Hyperlink"/>
          </w:rPr>
          <w:t xml:space="preserve">6</w:t>
        </w:r>
      </w:hyperlink>
      <w:r>
        <w:t xml:space="preserve">, Supplementary Figures S2 and S8, Supplementary Table S1). AdaBoost was retained as the reference score for downstream description, but it was not uniformly superior across all metrics.</w:t>
      </w:r>
    </w:p>
    <w:p>
      <w:pPr>
        <w:pStyle w:val="BodyText"/>
      </w:pPr>
      <w:r>
        <w:rPr>
          <w:b/>
          <w:bCs/>
        </w:rPr>
        <w:t xml:space="preserve">Key retrospective metrics.</w:t>
      </w:r>
      <w:r>
        <w:t xml:space="preserve"> </w:t>
      </w:r>
      <w:r>
        <w:t xml:space="preserve">AdaBoost showed moderate ranking performance (C-index = 0.607) and an association between standardized risk score and survival (HR = 1.430, 95% CI: 1.21–1.70,</w:t>
      </w:r>
      <w:r>
        <w:t xml:space="preserve"> </w:t>
      </w:r>
      <m:oMath>
        <m:r>
          <m:t>P</m:t>
        </m:r>
        <m:r>
          <m:rPr>
            <m:sty m:val="p"/>
          </m:rPr>
          <m:t>&lt;</m:t>
        </m:r>
        <m:r>
          <m:t>0.001</m:t>
        </m:r>
      </m:oMath>
      <w:r>
        <w:t xml:space="preserve">). XGBoost achieved the highest internal AUC (0.781), whereas other algorithms showed higher C-index values. This metric discordance argues against presenting any single model as clinically superior.</w:t>
      </w:r>
    </w:p>
    <w:p>
      <w:pPr>
        <w:pStyle w:val="BodyText"/>
      </w:pPr>
      <w:r>
        <w:rPr>
          <w:b/>
          <w:bCs/>
        </w:rPr>
        <w:t xml:space="preserve">Score-Group Separation</w:t>
      </w:r>
      <w:r>
        <w:t xml:space="preserve">:</w:t>
      </w:r>
      <w:r>
        <w:t xml:space="preserve"> </w:t>
      </w:r>
      <w:r>
        <w:t xml:space="preserve">AdaBoost separated a TCGA complete-case subset into high-score and low-score groups with different survival outcomes (log-rank</w:t>
      </w:r>
      <w:r>
        <w:t xml:space="preserve"> </w:t>
      </w:r>
      <m:oMath>
        <m:r>
          <m:t>P</m:t>
        </m:r>
        <m:r>
          <m:rPr>
            <m:sty m:val="p"/>
          </m:rPr>
          <m:t>=</m:t>
        </m:r>
        <m:r>
          <m:t>0.005</m:t>
        </m:r>
      </m:oMath>
      <w:r>
        <w:t xml:space="preserve">,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w:t>
      </w:r>
      <w:hyperlink w:anchor="fig:6">
        <w:r>
          <w:rPr>
            <w:rStyle w:val="Hyperlink"/>
          </w:rPr>
          <w:t xml:space="preserve">6</w:t>
        </w:r>
      </w:hyperlink>
      <w:r>
        <w:t xml:space="preserve">A–B). Risk-score ordering, survival status, and feature-expression patterns are shown as descriptive internal score-behavior summaries (Figure </w:t>
      </w:r>
      <w:hyperlink w:anchor="fig:6">
        <w:r>
          <w:rPr>
            <w:rStyle w:val="Hyperlink"/>
          </w:rPr>
          <w:t xml:space="preserve">6</w:t>
        </w:r>
      </w:hyperlink>
      <w:r>
        <w:t xml:space="preserve">C–E), and decision-curve analysis is reported only as exploratory net-benefit visualization (Figure </w:t>
      </w:r>
      <w:hyperlink w:anchor="fig:6">
        <w:r>
          <w:rPr>
            <w:rStyle w:val="Hyperlink"/>
          </w:rPr>
          <w:t xml:space="preserve">6</w:t>
        </w:r>
      </w:hyperlink>
      <w:r>
        <w:t xml:space="preserve">F).</w:t>
      </w:r>
    </w:p>
    <w:bookmarkStart w:id="64" w:name="fig:6"/>
    <w:p>
      <w:pPr>
        <w:pStyle w:val="CaptionedFigure"/>
      </w:pPr>
      <w:r>
        <w:drawing>
          <wp:inline>
            <wp:extent cx="5334000" cy="3937223"/>
            <wp:effectExtent b="0" l="0" r="0" t="0"/>
            <wp:docPr descr="" title="" id="62" name="Picture"/>
            <a:graphic>
              <a:graphicData uri="http://schemas.openxmlformats.org/drawingml/2006/picture">
                <pic:pic>
                  <pic:nvPicPr>
                    <pic:cNvPr descr="../figures/docx_png/Figure6.png" id="63" name="Picture"/>
                    <pic:cNvPicPr>
                      <a:picLocks noChangeArrowheads="1" noChangeAspect="1"/>
                    </pic:cNvPicPr>
                  </pic:nvPicPr>
                  <pic:blipFill>
                    <a:blip r:embed="rId61"/>
                    <a:stretch>
                      <a:fillRect/>
                    </a:stretch>
                  </pic:blipFill>
                  <pic:spPr bwMode="auto">
                    <a:xfrm>
                      <a:off x="0" y="0"/>
                      <a:ext cx="5334000" cy="3937223"/>
                    </a:xfrm>
                    <a:prstGeom prst="rect">
                      <a:avLst/>
                    </a:prstGeom>
                    <a:noFill/>
                    <a:ln w="9525">
                      <a:noFill/>
                      <a:headEnd/>
                      <a:tailEnd/>
                    </a:ln>
                  </pic:spPr>
                </pic:pic>
              </a:graphicData>
            </a:graphic>
          </wp:inline>
        </w:drawing>
      </w:r>
    </w:p>
    <w:p>
      <w:pPr>
        <w:pStyle w:val="ImageCaption"/>
      </w:pPr>
      <w:r>
        <w:rPr>
          <w:b/>
          <w:bCs/>
        </w:rPr>
        <w:t xml:space="preserve">Figure 6. Retrospective score behavior of the C1Q-centered feature set.</w:t>
      </w:r>
      <w:r>
        <w:t xml:space="preserve"> </w:t>
      </w:r>
      <w:r>
        <w:rPr>
          <w:b/>
          <w:bCs/>
        </w:rPr>
        <w:t xml:space="preserve">Panel A, Kaplan–Meier analysis</w:t>
      </w:r>
      <w:r>
        <w:t xml:space="preserve"> </w:t>
      </w:r>
      <w:r>
        <w:t xml:space="preserve">shows survival separation between high- and low-score groups in a TCGA complete-case subset.</w:t>
      </w:r>
      <w:r>
        <w:t xml:space="preserve"> </w:t>
      </w:r>
      <w:r>
        <w:rPr>
          <w:b/>
          <w:bCs/>
        </w:rPr>
        <w:t xml:space="preserve">Panel B, Time-dependent ROC curves</w:t>
      </w:r>
      <w:r>
        <w:t xml:space="preserve"> </w:t>
      </w:r>
      <w:r>
        <w:t xml:space="preserve">quantify discrimination at 1, 3, and 5 years.</w:t>
      </w:r>
      <w:r>
        <w:t xml:space="preserve"> </w:t>
      </w:r>
      <w:r>
        <w:rPr>
          <w:b/>
          <w:bCs/>
        </w:rPr>
        <w:t xml:space="preserve">Panels C–E, Risk-score ordering, survival-status distribution, and feature-expression heatmap</w:t>
      </w:r>
      <w:r>
        <w:t xml:space="preserve"> </w:t>
      </w:r>
      <w:r>
        <w:t xml:space="preserve">summarize internal score behavior across patients.</w:t>
      </w:r>
      <w:r>
        <w:t xml:space="preserve"> </w:t>
      </w:r>
      <w:r>
        <w:rPr>
          <w:b/>
          <w:bCs/>
        </w:rPr>
        <w:t xml:space="preserve">Panel F, Decision curve analysis</w:t>
      </w:r>
      <w:r>
        <w:t xml:space="preserve"> </w:t>
      </w:r>
      <w:r>
        <w:t xml:space="preserve">provides exploratory net-benefit visualization and is not interpreted as clinical utility evidence.</w:t>
      </w:r>
    </w:p>
    <w:bookmarkEnd w:id="64"/>
    <w:p>
      <w:pPr>
        <w:pStyle w:val="BodyText"/>
      </w:pPr>
      <w:r>
        <w:rPr>
          <w:b/>
          <w:bCs/>
        </w:rPr>
        <w:t xml:space="preserve">External Traceability</w:t>
      </w:r>
      <w:r>
        <w:t xml:space="preserve">:</w:t>
      </w:r>
      <w:r>
        <w:t xml:space="preserve"> </w:t>
      </w:r>
      <w:r>
        <w:t xml:space="preserve">In GSE31210, the feature set showed attenuated but directionally compatible score behavior (AUC = 0.650, C-index = 0.629; Figure </w:t>
      </w:r>
      <w:hyperlink w:anchor="fig:7">
        <w:r>
          <w:rPr>
            <w:rStyle w:val="Hyperlink"/>
          </w:rPr>
          <w:t xml:space="preserve">7</w:t>
        </w:r>
      </w:hyperlink>
      <w:r>
        <w:t xml:space="preserve">, Supplementary Figure S7, Supplementary Table S13). Survival separation was sensitive to analysis specification, with source tables reporting both significant and borderline estimates depending on completeness and covariate handling. Therefore, GSE31210 is treated as external traceability rather than definitive evidence. Decision curve analysis is reported only as exploratory net-benefit visualization.</w:t>
      </w:r>
    </w:p>
    <w:bookmarkStart w:id="68" w:name="fig:7"/>
    <w:p>
      <w:pPr>
        <w:pStyle w:val="CaptionedFigure"/>
      </w:pPr>
      <w:r>
        <w:drawing>
          <wp:inline>
            <wp:extent cx="5067300" cy="4397539"/>
            <wp:effectExtent b="0" l="0" r="0" t="0"/>
            <wp:docPr descr="" title="" id="66" name="Picture"/>
            <a:graphic>
              <a:graphicData uri="http://schemas.openxmlformats.org/drawingml/2006/picture">
                <pic:pic>
                  <pic:nvPicPr>
                    <pic:cNvPr descr="../figures/docx_png/Figure7.png" id="67" name="Picture"/>
                    <pic:cNvPicPr>
                      <a:picLocks noChangeArrowheads="1" noChangeAspect="1"/>
                    </pic:cNvPicPr>
                  </pic:nvPicPr>
                  <pic:blipFill>
                    <a:blip r:embed="rId65"/>
                    <a:stretch>
                      <a:fillRect/>
                    </a:stretch>
                  </pic:blipFill>
                  <pic:spPr bwMode="auto">
                    <a:xfrm>
                      <a:off x="0" y="0"/>
                      <a:ext cx="5067300" cy="4397539"/>
                    </a:xfrm>
                    <a:prstGeom prst="rect">
                      <a:avLst/>
                    </a:prstGeom>
                    <a:noFill/>
                    <a:ln w="9525">
                      <a:noFill/>
                      <a:headEnd/>
                      <a:tailEnd/>
                    </a:ln>
                  </pic:spPr>
                </pic:pic>
              </a:graphicData>
            </a:graphic>
          </wp:inline>
        </w:drawing>
      </w:r>
    </w:p>
    <w:p>
      <w:pPr>
        <w:pStyle w:val="ImageCaption"/>
      </w:pPr>
      <w:r>
        <w:rPr>
          <w:b/>
          <w:bCs/>
        </w:rPr>
        <w:t xml:space="preserve">Figure 7. External traceability and transferability.</w:t>
      </w:r>
      <w:r>
        <w:t xml:space="preserve"> </w:t>
      </w:r>
      <w:r>
        <w:rPr>
          <w:b/>
          <w:bCs/>
        </w:rPr>
        <w:t xml:space="preserve">Panel A, Kaplan–Meier display in the GSE31210 traceability cohort</w:t>
      </w:r>
      <w:r>
        <w:t xml:space="preserve"> </w:t>
      </w:r>
      <w:r>
        <w:t xml:space="preserve">summarizes score-group separation.</w:t>
      </w:r>
      <w:r>
        <w:t xml:space="preserve"> </w:t>
      </w:r>
      <w:r>
        <w:rPr>
          <w:b/>
          <w:bCs/>
        </w:rPr>
        <w:t xml:space="preserve">Panel B, Cross-cohort discrimination metrics</w:t>
      </w:r>
      <w:r>
        <w:t xml:space="preserve"> </w:t>
      </w:r>
      <w:r>
        <w:t xml:space="preserve">summarize transferability.</w:t>
      </w:r>
      <w:r>
        <w:t xml:space="preserve"> </w:t>
      </w:r>
      <w:r>
        <w:rPr>
          <w:b/>
          <w:bCs/>
        </w:rPr>
        <w:t xml:space="preserve">Panel C, Cross-platform risk-score consistency</w:t>
      </w:r>
      <w:r>
        <w:t xml:space="preserve"> </w:t>
      </w:r>
      <w:r>
        <w:t xml:space="preserve">is shown as technical traceability.</w:t>
      </w:r>
      <w:r>
        <w:t xml:space="preserve"> </w:t>
      </w:r>
      <w:r>
        <w:rPr>
          <w:b/>
          <w:bCs/>
        </w:rPr>
        <w:t xml:space="preserve">Panel D, Pan-cancer C1Q-axis patterns</w:t>
      </w:r>
      <w:r>
        <w:t xml:space="preserve"> </w:t>
      </w:r>
      <w:r>
        <w:t xml:space="preserve">are interpreted as exploratory biological context. These panels support external traceability rather than definitive evidence.</w:t>
      </w:r>
    </w:p>
    <w:bookmarkEnd w:id="68"/>
    <w:bookmarkEnd w:id="69"/>
    <w:bookmarkStart w:id="70" w:name="subsec:res_immuno"/>
    <w:p>
      <w:pPr>
        <w:pStyle w:val="Heading2"/>
      </w:pPr>
      <w:r>
        <w:t xml:space="preserve">Exploratory Immunotherapy-Response Association</w:t>
      </w:r>
    </w:p>
    <w:p>
      <w:pPr>
        <w:pStyle w:val="FirstParagraph"/>
      </w:pPr>
      <w:r>
        <w:t xml:space="preserve">We next examined whether the C1Q/SPP1-associated score varied with response annotations in small immunotherapy-treated datasets. These analyses are exploratory because cohort sizes were limited and GSE91061 is not NSCLC-specific. The cohorts were not used to tune the score or select a response threshold. We therefore emphasize direction and consistency rather than presenting these cohorts as confirmation of ICB response utility.</w:t>
      </w:r>
    </w:p>
    <w:p>
      <w:pPr>
        <w:pStyle w:val="BodyText"/>
      </w:pPr>
      <w:r>
        <w:t xml:space="preserve">In GSE91061, a melanoma cohort, lower-score patients showed directionally higher response rates and responders showed a decrease in score during therapy; because this cohort is not NSCLC-specific, it is treated only as cross-tumor exploratory context. In the two small NSCLC ICB cohorts, GSE126044 (N=16) and GSE135222 (N=27), the score showed response-associated separation in the expected direction, but precision was limited and no claim is made regarding clinical response prediction or superiority over PD-L1, TMB, or clinical baselines.</w:t>
      </w:r>
    </w:p>
    <w:p>
      <w:pPr>
        <w:pStyle w:val="BodyText"/>
      </w:pPr>
      <w:r>
        <w:t xml:space="preserve">Subtype summaries suggested that lower-score or C1Q-enriched contexts were more often aligned with inflamed immune programs, whereas higher-score contexts were more often aligned with excluded or desert-like features, including SPP1-associated macrophage programs. These subtype assignments are descriptive and require independent evaluation.</w:t>
      </w:r>
    </w:p>
    <w:bookmarkEnd w:id="70"/>
    <w:bookmarkStart w:id="71" w:name="subsec:res_multi"/>
    <w:p>
      <w:pPr>
        <w:pStyle w:val="Heading2"/>
      </w:pPr>
      <w:r>
        <w:t xml:space="preserve">Multivariable Survival Association</w:t>
      </w:r>
    </w:p>
    <w:p>
      <w:pPr>
        <w:pStyle w:val="FirstParagraph"/>
      </w:pPr>
      <w:r>
        <w:t xml:space="preserve">To assess whether the score retained survival association after adjustment for available clinical variables, we performed Cox regression analyses (Table </w:t>
      </w:r>
      <w:hyperlink w:anchor="tab:cox_regression">
        <w:r>
          <w:rPr>
            <w:rStyle w:val="Hyperlink"/>
          </w:rPr>
          <w:t xml:space="preserve">1</w:t>
        </w:r>
      </w:hyperlink>
      <w:r>
        <w:t xml:space="preserve">, Supplementary Table S13).</w:t>
      </w:r>
    </w:p>
    <w:p>
      <w:pPr>
        <w:pStyle w:val="BodyText"/>
      </w:pPr>
      <w:r>
        <w:t xml:space="preserve">In TCGA complete-case models, the standardized risk score retained an association with overall survival after adjustment for age, gender, and stage (multivariable HR = 1.430, 95% CI: 1.21–1.70; Table </w:t>
      </w:r>
      <w:hyperlink w:anchor="tab:cox_regression">
        <w:r>
          <w:rPr>
            <w:rStyle w:val="Hyperlink"/>
          </w:rPr>
          <w:t xml:space="preserve">1</w:t>
        </w:r>
      </w:hyperlink>
      <w:r>
        <w:t xml:space="preserve">). These analyses remain retrospective and should be interpreted as outcome traceability rather than clinical evidence. External covariate summaries and GSE31210 traceability analyses are provided in Supplementary Tables S9 and S13.</w:t>
      </w:r>
    </w:p>
    <w:bookmarkEnd w:id="71"/>
    <w:bookmarkStart w:id="73" w:name="subsec:res_integration"/>
    <w:p>
      <w:pPr>
        <w:pStyle w:val="Heading2"/>
      </w:pPr>
      <w:r>
        <w:t xml:space="preserve">Integration of MR-Prioritized Genes and Spatial Correlations</w:t>
      </w:r>
    </w:p>
    <w:p>
      <w:pPr>
        <w:pStyle w:val="FirstParagraph"/>
      </w:pPr>
      <w:r>
        <w:t xml:space="preserve">The 91-feature stability set, the 198-gene MR-prioritized set, and the spatially clustered genes were not treated as interchangeable evidence layers. Instead, convergence across these layers was used to rank follow-up candidates (Table </w:t>
      </w:r>
      <w:hyperlink w:anchor="tab:spatial_genes">
        <w:r>
          <w:rPr>
            <w:rStyle w:val="Hyperlink"/>
          </w:rPr>
          <w:t xml:space="preserve">[tab:spatial_genes]</w:t>
        </w:r>
      </w:hyperlink>
      <w:r>
        <w:t xml:space="preserve">).</w:t>
      </w:r>
      <w:r>
        <w:t xml:space="preserve"> </w:t>
      </w:r>
      <w:r>
        <w:rPr>
          <w:i/>
          <w:iCs/>
        </w:rPr>
        <w:t xml:space="preserve">KCNAB2</w:t>
      </w:r>
      <w:r>
        <w:t xml:space="preserve"> </w:t>
      </w:r>
      <w:r>
        <w:t xml:space="preserve">was retained as a recurrent candidate because it appeared in the stable feature set, was prioritized by MR, and showed measurable but modest spatial-context support.</w:t>
      </w:r>
      <w:r>
        <w:t xml:space="preserve"> </w:t>
      </w:r>
      <w:r>
        <w:rPr>
          <w:i/>
          <w:iCs/>
        </w:rPr>
        <w:t xml:space="preserve">SPP1</w:t>
      </w:r>
      <w:r>
        <w:t xml:space="preserve"> </w:t>
      </w:r>
      <w:r>
        <w:t xml:space="preserve">and the C1Q-family genes provided the clearest macrophage-context contrast, whereas</w:t>
      </w:r>
      <w:r>
        <w:t xml:space="preserve"> </w:t>
      </w:r>
      <w:r>
        <w:rPr>
          <w:i/>
          <w:iCs/>
        </w:rPr>
        <w:t xml:space="preserve">CDC42</w:t>
      </w:r>
      <w:r>
        <w:t xml:space="preserve">,</w:t>
      </w:r>
      <w:r>
        <w:t xml:space="preserve"> </w:t>
      </w:r>
      <w:r>
        <w:rPr>
          <w:i/>
          <w:iCs/>
        </w:rPr>
        <w:t xml:space="preserve">PLOD1</w:t>
      </w:r>
      <w:r>
        <w:t xml:space="preserve">,</w:t>
      </w:r>
      <w:r>
        <w:t xml:space="preserve"> </w:t>
      </w:r>
      <w:r>
        <w:rPr>
          <w:i/>
          <w:iCs/>
        </w:rPr>
        <w:t xml:space="preserve">LINC00339</w:t>
      </w:r>
      <w:r>
        <w:t xml:space="preserve">, and</w:t>
      </w:r>
      <w:r>
        <w:t xml:space="preserve"> </w:t>
      </w:r>
      <w:r>
        <w:rPr>
          <w:i/>
          <w:iCs/>
        </w:rPr>
        <w:t xml:space="preserve">UBXN10</w:t>
      </w:r>
      <w:r>
        <w:t xml:space="preserve"> </w:t>
      </w:r>
      <w:r>
        <w:t xml:space="preserve">were treated as secondary network or spatial-context candidates.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Gene</w:t>
            </w:r>
          </w:p>
        </w:tc>
        <w:tc>
          <w:tcPr/>
          <w:p>
            <w:pPr>
              <w:pStyle w:val="Compact"/>
              <w:jc w:val="left"/>
            </w:pPr>
            <w:r>
              <w:t xml:space="preserve">Annotation</w:t>
            </w:r>
          </w:p>
        </w:tc>
        <w:tc>
          <w:tcPr/>
          <w:p>
            <w:pPr>
              <w:pStyle w:val="Compact"/>
              <w:jc w:val="center"/>
            </w:pPr>
            <w:r>
              <w:t xml:space="preserve">Selection Stability</w:t>
            </w:r>
          </w:p>
        </w:tc>
        <w:tc>
          <w:tcPr/>
          <w:p>
            <w:pPr>
              <w:pStyle w:val="Compact"/>
              <w:jc w:val="center"/>
            </w:pPr>
            <w:r>
              <w:t xml:space="preserve">Moran’s I</w:t>
            </w:r>
          </w:p>
        </w:tc>
        <w:tc>
          <w:tcPr/>
          <w:p>
            <w:pPr>
              <w:pStyle w:val="Compact"/>
              <w:jc w:val="center"/>
            </w:pPr>
            <w:r>
              <w:t xml:space="preserve">Network Degree</w:t>
            </w:r>
          </w:p>
        </w:tc>
        <w:tc>
          <w:tcPr/>
          <w:p>
            <w:pPr>
              <w:pStyle w:val="Compact"/>
              <w:jc w:val="center"/>
            </w:pPr>
            <w:r>
              <w:t xml:space="preserve">Correlation (r)</w:t>
            </w:r>
          </w:p>
        </w:tc>
      </w:tr>
      <w:tr>
        <w:tc>
          <w:tcPr/>
          <w:p>
            <w:pPr>
              <w:pStyle w:val="Compact"/>
              <w:jc w:val="left"/>
            </w:pPr>
            <w:r>
              <w:t xml:space="preserve">ACP5</w:t>
            </w:r>
          </w:p>
        </w:tc>
        <w:tc>
          <w:tcPr/>
          <w:p>
            <w:pPr>
              <w:pStyle w:val="Compact"/>
              <w:jc w:val="left"/>
            </w:pPr>
            <w:r>
              <w:t xml:space="preserve">Macrophage Reg.</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KCNAB2</w:t>
            </w:r>
          </w:p>
        </w:tc>
        <w:tc>
          <w:tcPr/>
          <w:p>
            <w:pPr>
              <w:pStyle w:val="Compact"/>
              <w:jc w:val="left"/>
            </w:pPr>
            <w:r>
              <w:t xml:space="preserve">Ion Channel</w:t>
            </w:r>
          </w:p>
        </w:tc>
        <w:tc>
          <w:tcPr/>
          <w:p>
            <w:pPr>
              <w:pStyle w:val="Compact"/>
              <w:jc w:val="center"/>
            </w:pPr>
            <w:r>
              <w:t xml:space="preserve">100% (5/5)</w:t>
            </w:r>
          </w:p>
        </w:tc>
        <w:tc>
          <w:tcPr/>
          <w:p>
            <w:pPr>
              <w:pStyle w:val="Compact"/>
              <w:jc w:val="center"/>
            </w:pPr>
            <w:r>
              <w:t xml:space="preserve">0.094***</w:t>
            </w:r>
          </w:p>
        </w:tc>
        <w:tc>
          <w:tcPr/>
          <w:p>
            <w:pPr>
              <w:pStyle w:val="Compact"/>
              <w:jc w:val="center"/>
            </w:pPr>
            <w:r>
              <w:t xml:space="preserve">0.078</w:t>
            </w:r>
          </w:p>
        </w:tc>
        <w:tc>
          <w:tcPr/>
          <w:p>
            <w:pPr>
              <w:pStyle w:val="Compact"/>
              <w:jc w:val="center"/>
            </w:pPr>
            <w:r>
              <w:t xml:space="preserve">0.219***</w:t>
            </w:r>
          </w:p>
        </w:tc>
      </w:tr>
      <w:tr>
        <w:tc>
          <w:tcPr/>
          <w:p>
            <w:pPr>
              <w:pStyle w:val="Compact"/>
              <w:jc w:val="left"/>
            </w:pPr>
            <w:r>
              <w:t xml:space="preserve">SPP1</w:t>
            </w:r>
          </w:p>
        </w:tc>
        <w:tc>
          <w:tcPr/>
          <w:p>
            <w:pPr>
              <w:pStyle w:val="Compact"/>
              <w:jc w:val="left"/>
            </w:pPr>
            <w:r>
              <w:t xml:space="preserve">TME Modulation</w:t>
            </w:r>
          </w:p>
        </w:tc>
        <w:tc>
          <w:tcPr/>
          <w:p>
            <w:pPr>
              <w:pStyle w:val="Compact"/>
              <w:jc w:val="center"/>
            </w:pPr>
            <w:r>
              <w:t xml:space="preserve">-</w:t>
            </w:r>
          </w:p>
        </w:tc>
        <w:tc>
          <w:tcPr/>
          <w:p>
            <w:pPr>
              <w:pStyle w:val="Compact"/>
              <w:jc w:val="center"/>
            </w:pPr>
            <w:r>
              <w:t xml:space="preserve">0.712***</w:t>
            </w:r>
          </w:p>
        </w:tc>
        <w:tc>
          <w:tcPr/>
          <w:p>
            <w:pPr>
              <w:pStyle w:val="Compact"/>
              <w:jc w:val="center"/>
            </w:pPr>
            <w:r>
              <w:t xml:space="preserve">0.066</w:t>
            </w:r>
          </w:p>
        </w:tc>
        <w:tc>
          <w:tcPr/>
          <w:p>
            <w:pPr>
              <w:pStyle w:val="Compact"/>
              <w:jc w:val="center"/>
            </w:pPr>
            <w:r>
              <w:t xml:space="preserve">-0.258***</w:t>
            </w:r>
          </w:p>
        </w:tc>
      </w:tr>
      <w:tr>
        <w:tc>
          <w:tcPr/>
          <w:p>
            <w:pPr>
              <w:pStyle w:val="Compact"/>
              <w:jc w:val="left"/>
            </w:pPr>
            <w:r>
              <w:t xml:space="preserve">LINC00339</w:t>
            </w:r>
          </w:p>
        </w:tc>
        <w:tc>
          <w:tcPr/>
          <w:p>
            <w:pPr>
              <w:pStyle w:val="Compact"/>
              <w:jc w:val="left"/>
            </w:pPr>
            <w:r>
              <w:t xml:space="preserve">Long ncRNA</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0.064</w:t>
            </w:r>
          </w:p>
        </w:tc>
        <w:tc>
          <w:tcPr/>
          <w:p>
            <w:pPr>
              <w:pStyle w:val="Compact"/>
              <w:jc w:val="center"/>
            </w:pPr>
            <w:r>
              <w:t xml:space="preserve">0.586***</w:t>
            </w:r>
          </w:p>
        </w:tc>
      </w:tr>
      <w:tr>
        <w:tc>
          <w:tcPr/>
          <w:p>
            <w:pPr>
              <w:pStyle w:val="Compact"/>
              <w:jc w:val="left"/>
            </w:pPr>
            <w:r>
              <w:t xml:space="preserve">CDC42</w:t>
            </w:r>
          </w:p>
        </w:tc>
        <w:tc>
          <w:tcPr/>
          <w:p>
            <w:pPr>
              <w:pStyle w:val="Compact"/>
              <w:jc w:val="left"/>
            </w:pPr>
            <w:r>
              <w:t xml:space="preserve">Signal Transduction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0.060</w:t>
            </w:r>
          </w:p>
        </w:tc>
        <w:tc>
          <w:tcPr/>
          <w:p>
            <w:pPr>
              <w:pStyle w:val="Compact"/>
              <w:jc w:val="center"/>
            </w:pPr>
            <w:r>
              <w:t xml:space="preserve">0.424***</w:t>
            </w:r>
          </w:p>
        </w:tc>
      </w:tr>
      <w:tr>
        <w:tc>
          <w:tcPr/>
          <w:p>
            <w:pPr>
              <w:pStyle w:val="Compact"/>
              <w:jc w:val="left"/>
            </w:pPr>
            <w:r>
              <w:t xml:space="preserve">PLOD1</w:t>
            </w:r>
          </w:p>
        </w:tc>
        <w:tc>
          <w:tcPr/>
          <w:p>
            <w:pPr>
              <w:pStyle w:val="Compact"/>
              <w:jc w:val="left"/>
            </w:pPr>
            <w:r>
              <w:t xml:space="preserve">Collagen Modification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0.035</w:t>
            </w:r>
          </w:p>
        </w:tc>
        <w:tc>
          <w:tcPr/>
          <w:p>
            <w:pPr>
              <w:pStyle w:val="Compact"/>
              <w:jc w:val="center"/>
            </w:pPr>
            <w:r>
              <w:t xml:space="preserve">0.260***</w:t>
            </w:r>
          </w:p>
        </w:tc>
      </w:tr>
      <w:tr>
        <w:tc>
          <w:tcPr/>
          <w:p>
            <w:pPr>
              <w:pStyle w:val="Compact"/>
              <w:jc w:val="left"/>
            </w:pPr>
            <w:r>
              <w:t xml:space="preserve">C1QA</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0.386***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C1QB</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0.353***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C1QC</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0.377***</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UBXN10</w:t>
            </w:r>
          </w:p>
        </w:tc>
        <w:tc>
          <w:tcPr/>
          <w:p>
            <w:pPr>
              <w:pStyle w:val="Compact"/>
              <w:jc w:val="left"/>
            </w:pPr>
            <w:r>
              <w:t xml:space="preserve">Ubiquitination</w:t>
            </w:r>
          </w:p>
        </w:tc>
        <w:tc>
          <w:tcPr/>
          <w:p>
            <w:pPr>
              <w:pStyle w:val="Compact"/>
              <w:jc w:val="center"/>
            </w:pPr>
            <w:r>
              <w:t xml:space="preserve">-</w:t>
            </w:r>
          </w:p>
        </w:tc>
        <w:tc>
          <w:tcPr/>
          <w:p>
            <w:pPr>
              <w:pStyle w:val="Compact"/>
              <w:jc w:val="center"/>
            </w:pPr>
            <w:r>
              <w:t xml:space="preserve">0.416***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BOK</w:t>
            </w:r>
          </w:p>
        </w:tc>
        <w:tc>
          <w:tcPr/>
          <w:p>
            <w:pPr>
              <w:pStyle w:val="Compact"/>
              <w:jc w:val="left"/>
            </w:pPr>
            <w:r>
              <w:t xml:space="preserve">Apoptosis</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Start w:id="72" w:name="tab:cox_regression"/>
    <w:p>
      <w:pPr>
        <w:pStyle w:val="TableCaption"/>
      </w:pPr>
      <w:r>
        <w:rPr>
          <w:b/>
          <w:bCs/>
        </w:rPr>
        <w:t xml:space="preserve">Univariate and multivariable Cox regression analysis in the TCGA discovery cohort (N=1,038)</w:t>
      </w:r>
    </w:p>
    <w:tbl>
      <w:tblPr>
        <w:tblStyle w:val="Table"/>
        <w:tblW w:type="auto" w:w="0"/>
        <w:tblLook w:firstRow="1" w:lastRow="0" w:firstColumn="0" w:lastColumn="0" w:noHBand="0" w:noVBand="0" w:val="0020"/>
        <w:tblCaption w:val="Univariate and multivariable Cox regression analysis in the TCGA discovery cohort (N=1,038)"/>
      </w:tblPr>
      <w:tblGrid>
        <w:gridCol w:w="1584"/>
        <w:gridCol w:w="1584"/>
        <w:gridCol w:w="1584"/>
        <w:gridCol w:w="1584"/>
        <w:gridCol w:w="1584"/>
      </w:tblGrid>
      <w:tr>
        <w:trPr>
          <w:tblHeader w:val="on"/>
        </w:trPr>
        <w:tc>
          <w:tcPr/>
          <w:p>
            <w:pPr>
              <w:pStyle w:val="Compact"/>
            </w:pPr>
          </w:p>
        </w:tc>
        <w:tc>
          <w:tcPr>
            <w:gridSpan w:val="2"/>
          </w:tcPr>
          <w:p>
            <w:pPr>
              <w:pStyle w:val="Compact"/>
              <w:jc w:val="center"/>
            </w:pPr>
            <w:r>
              <w:rPr>
                <w:b/>
                <w:bCs/>
              </w:rPr>
              <w:t xml:space="preserve">Univariate Analysis</w:t>
            </w:r>
          </w:p>
        </w:tc>
        <w:tc>
          <w:tcPr>
            <w:gridSpan w:val="2"/>
          </w:tcPr>
          <w:p>
            <w:pPr>
              <w:pStyle w:val="Compact"/>
              <w:jc w:val="center"/>
            </w:pPr>
            <w:r>
              <w:rPr>
                <w:b/>
                <w:bCs/>
              </w:rPr>
              <w:t xml:space="preserve">Multivariate Analysis</w:t>
            </w:r>
          </w:p>
        </w:tc>
      </w:tr>
      <w:tr>
        <w:tc>
          <w:tcPr/>
          <w:p>
            <w:pPr>
              <w:pStyle w:val="Compact"/>
              <w:jc w:val="left"/>
            </w:pPr>
            <w:r>
              <w:t xml:space="preserve">2-3</w:t>
            </w:r>
            <w:r>
              <w:t xml:space="preserve"> </w:t>
            </w:r>
            <w:r>
              <w:t xml:space="preserve">(lr)</w:t>
            </w:r>
            <w:r>
              <w:t xml:space="preserve">4-5</w:t>
            </w:r>
            <w:r>
              <w:t xml:space="preserve"> </w:t>
            </w:r>
            <w:r>
              <w:rPr>
                <w:b/>
                <w:bCs/>
              </w:rPr>
              <w:t xml:space="preserve">Covariate</w:t>
            </w:r>
          </w:p>
        </w:tc>
        <w:tc>
          <w:tcPr/>
          <w:p>
            <w:pPr>
              <w:pStyle w:val="Compact"/>
              <w:jc w:val="center"/>
            </w:pPr>
            <w:r>
              <w:rPr>
                <w:b/>
                <w:bCs/>
              </w:rPr>
              <w:t xml:space="preserve">HR (95% CI)</w:t>
            </w:r>
          </w:p>
        </w:tc>
        <w:tc>
          <w:tcPr/>
          <w:p>
            <w:pPr>
              <w:pStyle w:val="Compact"/>
              <w:jc w:val="center"/>
            </w:pPr>
            <w:r>
              <w:rPr>
                <w:b/>
                <w:bCs/>
              </w:rPr>
              <w:t xml:space="preserve">P-value</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Risk Score</w:t>
            </w:r>
            <w:r>
              <w:rPr>
                <w:vertAlign w:val="superscript"/>
              </w:rPr>
              <w:t xml:space="preserve">a</w:t>
            </w:r>
          </w:p>
        </w:tc>
        <w:tc>
          <w:tcPr/>
          <w:p>
            <w:pPr>
              <w:pStyle w:val="Compact"/>
              <w:jc w:val="center"/>
            </w:pPr>
            <w:r>
              <w:t xml:space="preserve">2.45 (1.85–3.24)</w:t>
            </w:r>
          </w:p>
        </w:tc>
        <w:tc>
          <w:tcPr/>
          <w:p>
            <w:pPr>
              <w:pStyle w:val="Compact"/>
              <w:jc w:val="center"/>
            </w:pPr>
            <m:oMath>
              <m:r>
                <m:rPr>
                  <m:sty m:val="p"/>
                </m:rPr>
                <m:t>&lt;</m:t>
              </m:r>
              <m:r>
                <m:t>0.001</m:t>
              </m:r>
            </m:oMath>
          </w:p>
        </w:tc>
        <w:tc>
          <w:tcPr/>
          <w:p>
            <w:pPr>
              <w:pStyle w:val="Compact"/>
              <w:jc w:val="center"/>
            </w:pPr>
            <w:r>
              <w:t xml:space="preserve">1.43 (1.21–1.70)</w:t>
            </w:r>
          </w:p>
        </w:tc>
        <w:tc>
          <w:tcPr/>
          <w:p>
            <w:pPr>
              <w:pStyle w:val="Compact"/>
              <w:jc w:val="center"/>
            </w:pPr>
            <m:oMath>
              <m:r>
                <m:rPr>
                  <m:sty m:val="p"/>
                </m:rPr>
                <m:t>&lt;</m:t>
              </m:r>
              <m:r>
                <m:t>0.001</m:t>
              </m:r>
            </m:oMath>
          </w:p>
        </w:tc>
      </w:tr>
      <w:tr>
        <w:tc>
          <w:tcPr/>
          <w:p>
            <w:pPr>
              <w:pStyle w:val="Compact"/>
              <w:jc w:val="left"/>
            </w:pPr>
            <w:r>
              <w:t xml:space="preserve">Age</w:t>
            </w:r>
          </w:p>
        </w:tc>
        <w:tc>
          <w:tcPr/>
          <w:p>
            <w:pPr>
              <w:pStyle w:val="Compact"/>
              <w:jc w:val="center"/>
            </w:pPr>
            <w:r>
              <w:t xml:space="preserve">1.02 (1.00–1.03)</w:t>
            </w:r>
          </w:p>
        </w:tc>
        <w:tc>
          <w:tcPr/>
          <w:p>
            <w:pPr>
              <w:pStyle w:val="Compact"/>
              <w:jc w:val="center"/>
            </w:pPr>
            <w:r>
              <w:t xml:space="preserve">0.064</w:t>
            </w:r>
          </w:p>
        </w:tc>
        <w:tc>
          <w:tcPr/>
          <w:p>
            <w:pPr>
              <w:pStyle w:val="Compact"/>
              <w:jc w:val="center"/>
            </w:pPr>
            <w:r>
              <w:t xml:space="preserve">1.01 (0.99–1.03)</w:t>
            </w:r>
          </w:p>
        </w:tc>
        <w:tc>
          <w:tcPr/>
          <w:p>
            <w:pPr>
              <w:pStyle w:val="Compact"/>
              <w:jc w:val="center"/>
            </w:pPr>
            <w:r>
              <w:t xml:space="preserve">0.217</w:t>
            </w:r>
          </w:p>
        </w:tc>
      </w:tr>
      <w:tr>
        <w:tc>
          <w:tcPr/>
          <w:p>
            <w:pPr>
              <w:pStyle w:val="Compact"/>
              <w:jc w:val="left"/>
            </w:pPr>
            <w:r>
              <w:t xml:space="preserve">Gender (Male vs Female)</w:t>
            </w:r>
          </w:p>
        </w:tc>
        <w:tc>
          <w:tcPr/>
          <w:p>
            <w:pPr>
              <w:pStyle w:val="Compact"/>
              <w:jc w:val="center"/>
            </w:pPr>
            <w:r>
              <w:t xml:space="preserve">0.98 (0.73–1.32)</w:t>
            </w:r>
          </w:p>
        </w:tc>
        <w:tc>
          <w:tcPr/>
          <w:p>
            <w:pPr>
              <w:pStyle w:val="Compact"/>
              <w:jc w:val="center"/>
            </w:pPr>
            <w:r>
              <w:t xml:space="preserve">0.898</w:t>
            </w:r>
          </w:p>
        </w:tc>
        <w:tc>
          <w:tcPr/>
          <w:p>
            <w:pPr>
              <w:pStyle w:val="Compact"/>
              <w:jc w:val="center"/>
            </w:pPr>
            <w:r>
              <w:t xml:space="preserve">0.90 (0.67–1.21)</w:t>
            </w:r>
          </w:p>
        </w:tc>
        <w:tc>
          <w:tcPr/>
          <w:p>
            <w:pPr>
              <w:pStyle w:val="Compact"/>
              <w:jc w:val="center"/>
            </w:pPr>
            <w:r>
              <w:t xml:space="preserve">0.482</w:t>
            </w:r>
          </w:p>
        </w:tc>
      </w:tr>
      <w:tr>
        <w:tc>
          <w:tcPr/>
          <w:p>
            <w:pPr>
              <w:pStyle w:val="Compact"/>
              <w:jc w:val="left"/>
            </w:pPr>
            <w:r>
              <w:t xml:space="preserve">Stage (IV vs I)</w:t>
            </w:r>
          </w:p>
        </w:tc>
        <w:tc>
          <w:tcPr/>
          <w:p>
            <w:pPr>
              <w:pStyle w:val="Compact"/>
              <w:jc w:val="center"/>
            </w:pPr>
            <w:r>
              <w:t xml:space="preserve">1.33 (1.09–1.61)</w:t>
            </w:r>
          </w:p>
        </w:tc>
        <w:tc>
          <w:tcPr/>
          <w:p>
            <w:pPr>
              <w:pStyle w:val="Compact"/>
              <w:jc w:val="center"/>
            </w:pPr>
            <w:r>
              <w:t xml:space="preserve">0.005</w:t>
            </w:r>
          </w:p>
        </w:tc>
        <w:tc>
          <w:tcPr/>
          <w:p>
            <w:pPr>
              <w:pStyle w:val="Compact"/>
              <w:jc w:val="center"/>
            </w:pPr>
            <w:r>
              <w:t xml:space="preserve">1.35 (1.11–1.65)</w:t>
            </w:r>
          </w:p>
        </w:tc>
        <w:tc>
          <w:tcPr/>
          <w:p>
            <w:pPr>
              <w:pStyle w:val="Compact"/>
              <w:jc w:val="center"/>
            </w:pPr>
            <w:r>
              <w:t xml:space="preserve">0.003</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72"/>
    <w:bookmarkEnd w:id="73"/>
    <w:bookmarkStart w:id="78" w:name="public-protein-expression-context"/>
    <w:p>
      <w:pPr>
        <w:pStyle w:val="Heading2"/>
      </w:pPr>
      <w:r>
        <w:t xml:space="preserve">Public Protein-Expression Context</w:t>
      </w:r>
    </w:p>
    <w:p>
      <w:pPr>
        <w:pStyle w:val="FirstParagraph"/>
      </w:pPr>
      <w:r>
        <w:t xml:space="preserve">We cross-referenced public Human Protein Atlas immunohistochemistry images for protein-level context. KCNAB2 showed cytoplasmic staining in available lung tissue images, while SPP1 was predominantly stromal in the inspected examples (Figure</w:t>
      </w:r>
      <w:r>
        <w:t xml:space="preserve"> </w:t>
      </w:r>
      <w:hyperlink w:anchor="fig:8">
        <w:r>
          <w:rPr>
            <w:rStyle w:val="Hyperlink"/>
          </w:rPr>
          <w:t xml:space="preserve">8</w:t>
        </w:r>
      </w:hyperlink>
      <w:r>
        <w:t xml:space="preserve">). These public images support plausibility of protein-level expression patterns but should be read only as public protein-expression context, not as author-generated protein-level evidence. Source pages and license information are documented in the public source-data manifest.</w:t>
      </w:r>
    </w:p>
    <w:bookmarkStart w:id="77" w:name="fig:8"/>
    <w:p>
      <w:pPr>
        <w:pStyle w:val="CaptionedFigure"/>
      </w:pPr>
      <w:r>
        <w:drawing>
          <wp:inline>
            <wp:extent cx="4587240" cy="6223418"/>
            <wp:effectExtent b="0" l="0" r="0" t="0"/>
            <wp:docPr descr="" title="" id="75" name="Picture"/>
            <a:graphic>
              <a:graphicData uri="http://schemas.openxmlformats.org/drawingml/2006/picture">
                <pic:pic>
                  <pic:nvPicPr>
                    <pic:cNvPr descr="../figures/docx_png/Figure8.png" id="76" name="Picture"/>
                    <pic:cNvPicPr>
                      <a:picLocks noChangeArrowheads="1" noChangeAspect="1"/>
                    </pic:cNvPicPr>
                  </pic:nvPicPr>
                  <pic:blipFill>
                    <a:blip r:embed="rId74"/>
                    <a:stretch>
                      <a:fillRect/>
                    </a:stretch>
                  </pic:blipFill>
                  <pic:spPr bwMode="auto">
                    <a:xfrm>
                      <a:off x="0" y="0"/>
                      <a:ext cx="4587240" cy="6223418"/>
                    </a:xfrm>
                    <a:prstGeom prst="rect">
                      <a:avLst/>
                    </a:prstGeom>
                    <a:noFill/>
                    <a:ln w="9525">
                      <a:noFill/>
                      <a:headEnd/>
                      <a:tailEnd/>
                    </a:ln>
                  </pic:spPr>
                </pic:pic>
              </a:graphicData>
            </a:graphic>
          </wp:inline>
        </w:drawing>
      </w:r>
    </w:p>
    <w:p>
      <w:pPr>
        <w:pStyle w:val="ImageCaption"/>
      </w:pPr>
      <w:r>
        <w:rPr>
          <w:b/>
          <w:bCs/>
        </w:rPr>
        <w:t xml:space="preserve">Figure 8. Public protein-expression context for</w:t>
      </w:r>
      <w:r>
        <w:rPr>
          <w:b/>
          <w:bCs/>
        </w:rPr>
        <w:t xml:space="preserve"> </w:t>
      </w:r>
      <w:r>
        <w:rPr>
          <w:b/>
          <w:bCs/>
          <w:i/>
          <w:iCs/>
        </w:rPr>
        <w:t xml:space="preserve">KCNAB2</w:t>
      </w:r>
      <w:r>
        <w:rPr>
          <w:b/>
          <w:bCs/>
        </w:rPr>
        <w:t xml:space="preserve"> </w:t>
      </w:r>
      <w:r>
        <w:rPr>
          <w:b/>
          <w:bCs/>
        </w:rPr>
        <w:t xml:space="preserve">and</w:t>
      </w:r>
      <w:r>
        <w:rPr>
          <w:b/>
          <w:bCs/>
        </w:rPr>
        <w:t xml:space="preserve"> </w:t>
      </w:r>
      <w:r>
        <w:rPr>
          <w:b/>
          <w:bCs/>
          <w:i/>
          <w:iCs/>
        </w:rPr>
        <w:t xml:space="preserve">SPP1</w:t>
      </w:r>
      <w:r>
        <w:rPr>
          <w:b/>
          <w:bCs/>
        </w:rPr>
        <w:t xml:space="preserve"> </w:t>
      </w:r>
      <w:r>
        <w:rPr>
          <w:b/>
          <w:bCs/>
        </w:rPr>
        <w:t xml:space="preserve">and CosMx neighborhood analysis.</w:t>
      </w:r>
      <w:r>
        <w:t xml:space="preserve"> </w:t>
      </w:r>
      <w:r>
        <w:t xml:space="preserve">(A) Representative Human Protein Atlas immunohistochemistry (IHC) image of</w:t>
      </w:r>
      <w:r>
        <w:t xml:space="preserve"> </w:t>
      </w:r>
      <w:r>
        <w:rPr>
          <w:i/>
          <w:iCs/>
        </w:rPr>
        <w:t xml:space="preserve">KCNAB2</w:t>
      </w:r>
      <w:r>
        <w:t xml:space="preserve"> </w:t>
      </w:r>
      <w:r>
        <w:t xml:space="preserve">expression in normal lung tissue. (B) Representative HPA IHC image of</w:t>
      </w:r>
      <w:r>
        <w:t xml:space="preserve"> </w:t>
      </w:r>
      <w:r>
        <w:rPr>
          <w:i/>
          <w:iCs/>
        </w:rPr>
        <w:t xml:space="preserve">KCNAB2</w:t>
      </w:r>
      <w:r>
        <w:t xml:space="preserve"> </w:t>
      </w:r>
      <w:r>
        <w:t xml:space="preserve">in lung cancer tissue. (C) Single-cell expression distribution of</w:t>
      </w:r>
      <w:r>
        <w:t xml:space="preserve"> </w:t>
      </w:r>
      <w:r>
        <w:rPr>
          <w:i/>
          <w:iCs/>
        </w:rPr>
        <w:t xml:space="preserve">KCNAB2</w:t>
      </w:r>
      <w:r>
        <w:t xml:space="preserve"> </w:t>
      </w:r>
      <w:r>
        <w:t xml:space="preserve">(nCPM), providing context for candidate-cell localization. (D) Representative HPA IHC image of</w:t>
      </w:r>
      <w:r>
        <w:t xml:space="preserve"> </w:t>
      </w:r>
      <w:r>
        <w:rPr>
          <w:i/>
          <w:iCs/>
        </w:rPr>
        <w:t xml:space="preserve">SPP1</w:t>
      </w:r>
      <w:r>
        <w:t xml:space="preserve"> </w:t>
      </w:r>
      <w:r>
        <w:t xml:space="preserve">expression in normal lung tissue. (E) Representative HPA IHC image of</w:t>
      </w:r>
      <w:r>
        <w:t xml:space="preserve"> </w:t>
      </w:r>
      <w:r>
        <w:rPr>
          <w:i/>
          <w:iCs/>
        </w:rPr>
        <w:t xml:space="preserve">SPP1</w:t>
      </w:r>
      <w:r>
        <w:t xml:space="preserve"> </w:t>
      </w:r>
      <w:r>
        <w:t xml:space="preserve">expression in lung cancer tissue. (F) CosMx SMI neighborhood view based on a distinct descriptive index-cell display of C1Q-associated macrophage contexts and CD8-marker-positive contexts; this panel is interpreted as spatial context rather than as confirmatory enrichment or proof of direct interaction. HPA image source pages and license information are listed in the source-data manifest.</w:t>
      </w:r>
    </w:p>
    <w:bookmarkEnd w:id="77"/>
    <w:bookmarkEnd w:id="78"/>
    <w:bookmarkEnd w:id="79"/>
    <w:bookmarkStart w:id="87" w:name="sec:discussion"/>
    <w:p>
      <w:pPr>
        <w:pStyle w:val="Heading1"/>
      </w:pPr>
      <w:r>
        <w:t xml:space="preserve">Discussion</w:t>
      </w:r>
    </w:p>
    <w:bookmarkStart w:id="80" w:name="principal-findings"/>
    <w:p>
      <w:pPr>
        <w:pStyle w:val="Heading2"/>
      </w:pPr>
      <w:r>
        <w:t xml:space="preserve">Principal Findings</w:t>
      </w:r>
    </w:p>
    <w:p>
      <w:pPr>
        <w:pStyle w:val="FirstParagraph"/>
      </w:pPr>
      <w:r>
        <w:t xml:space="preserve">This study supports a conservative conclusion: C1Q/SPP1 is a cross-dataset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pPr>
      <w:r>
        <w:t xml:space="preserve">The principal findings were: (1) nested cross-validation identified a stable 91-feature set enriched for immune and macrophage-context signals; (2) MR prioritized several candidates, including</w:t>
      </w:r>
      <w:r>
        <w:t xml:space="preserve"> </w:t>
      </w:r>
      <w:r>
        <w:rPr>
          <w:i/>
          <w:iCs/>
        </w:rPr>
        <w:t xml:space="preserve">C1QA</w:t>
      </w:r>
      <w:r>
        <w:t xml:space="preserve"> </w:t>
      </w:r>
      <w:r>
        <w:t xml:space="preserve">and</w:t>
      </w:r>
      <w:r>
        <w:t xml:space="preserve"> </w:t>
      </w:r>
      <w:r>
        <w:rPr>
          <w:i/>
          <w:iCs/>
        </w:rPr>
        <w:t xml:space="preserve">KCNAB2</w:t>
      </w:r>
      <w:r>
        <w:t xml:space="preserve">, but with the usual instrumental-variable caveats; (3) C1Q-family genes showed moderate spatial clustering in patient-limited spatial data, while</w:t>
      </w:r>
      <w:r>
        <w:t xml:space="preserve"> </w:t>
      </w:r>
      <w:r>
        <w:rPr>
          <w:i/>
          <w:iCs/>
        </w:rPr>
        <w:t xml:space="preserve">SPP1</w:t>
      </w:r>
      <w:r>
        <w:t xml:space="preserve"> </w:t>
      </w:r>
      <w:r>
        <w:t xml:space="preserve">showed stronger spatial compartmentalization; (4) counterfactual scoring showed that the C1Q module is internally sensitive to</w:t>
      </w:r>
      <w:r>
        <w:t xml:space="preserve"> </w:t>
      </w:r>
      <w:r>
        <w:rPr>
          <w:i/>
          <w:iCs/>
        </w:rPr>
        <w:t xml:space="preserve">C1QA</w:t>
      </w:r>
      <w:r>
        <w:t xml:space="preserve"> </w:t>
      </w:r>
      <w:r>
        <w:t xml:space="preserve">attenuation, without proving biological perturbation; and (5) retrospective score behavior was statistically detectable but modest, with external and immunotherapy-response results best interpreted as traceability rather than confirmation.</w:t>
      </w:r>
    </w:p>
    <w:bookmarkEnd w:id="80"/>
    <w:bookmarkStart w:id="81" w:name="interpretation-of-the-evidence-chain"/>
    <w:p>
      <w:pPr>
        <w:pStyle w:val="Heading2"/>
      </w:pPr>
      <w:r>
        <w:t xml:space="preserve">Interpretation of the Evidence Chain</w:t>
      </w:r>
    </w:p>
    <w:p>
      <w:pPr>
        <w:pStyle w:val="FirstParagraph"/>
      </w:pPr>
      <w:r>
        <w:t xml:space="preserve">The strength of the study is not a single high-performing classifier. Rather, it is the convergence of several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 but it should be understood as traceability rather than validation.</w:t>
      </w:r>
    </w:p>
    <w:p>
      <w:pPr>
        <w:pStyle w:val="BodyText"/>
      </w:pPr>
      <w:r>
        <w:t xml:space="preserve">At the same time, each layer has specific inference limits. MR prioritizes expression-linked candidates under instrumental-variable assumptions but does not establish mechanism. Spatial autocorrelation describes local organization but does not prove cell-cell communication. Computational C1QA attenuation tests score dependency but is not a wet-lab perturbation. Small ICB cohorts provide response-association context but not clinical evidence. For that reason, the manuscript should be read as a traceable, hypothesis-generating cancer-informatics study rather than as a completed biomarker-development paper.</w:t>
      </w:r>
    </w:p>
    <w:bookmarkEnd w:id="81"/>
    <w:bookmarkStart w:id="82" w:name="Xf0ac9bfa97ba69f0073668a7380983c31828810"/>
    <w:p>
      <w:pPr>
        <w:pStyle w:val="Heading2"/>
      </w:pPr>
      <w:r>
        <w:t xml:space="preserve">Biological Plausibility of the C1Q/SPP1 Spatial Context</w:t>
      </w:r>
    </w:p>
    <w:p>
      <w:pPr>
        <w:pStyle w:val="FirstParagraph"/>
      </w:pPr>
      <w:r>
        <w:t xml:space="preserve">The biological plausibility of the C1Q/SPP1 axis rests on macrophage biology and spatial organization. C1Q-associated regions tracked immune-marker context, suggesting that complement-associated macrophage states may mark immune-active local environments; this is a marker-context interpretation, not proof that C1Q drives therapeutic response. The stronger spatial autocorrelation of</w:t>
      </w:r>
      <w:r>
        <w:t xml:space="preserve"> </w:t>
      </w:r>
      <w:r>
        <w:rPr>
          <w:i/>
          <w:iCs/>
        </w:rPr>
        <w:t xml:space="preserve">SPP1</w:t>
      </w:r>
      <w:r>
        <w:t xml:space="preserve"> </w:t>
      </w:r>
      <w:r>
        <w:t xml:space="preserve">(Moran’s I = 0.712) delineated a distinct macrophage-associated compartment compatible with stromal-remodeling or immune-exclusion context, but it does not prove that</w:t>
      </w:r>
      <w:r>
        <w:t xml:space="preserve"> </w:t>
      </w:r>
      <w:r>
        <w:rPr>
          <w:i/>
          <w:iCs/>
        </w:rPr>
        <w:t xml:space="preserve">SPP1</w:t>
      </w:r>
      <w:r>
        <w:t xml:space="preserve"> </w:t>
      </w:r>
      <w:r>
        <w:t xml:space="preserve">creates a physical barrier in NSCLC.</w:t>
      </w:r>
    </w:p>
    <w:p>
      <w:pPr>
        <w:pStyle w:val="BodyText"/>
      </w:pPr>
      <w:r>
        <w:t xml:space="preserve">Additional candidates such as</w:t>
      </w:r>
      <w:r>
        <w:t xml:space="preserve"> </w:t>
      </w:r>
      <w:r>
        <w:rPr>
          <w:i/>
          <w:iCs/>
        </w:rPr>
        <w:t xml:space="preserve">BOK</w:t>
      </w:r>
      <w:r>
        <w:t xml:space="preserve"> </w:t>
      </w:r>
      <w:r>
        <w:t xml:space="preserve">and</w:t>
      </w:r>
      <w:r>
        <w:t xml:space="preserve"> </w:t>
      </w:r>
      <w:r>
        <w:rPr>
          <w:i/>
          <w:iCs/>
        </w:rPr>
        <w:t xml:space="preserve">HIST1H4F</w:t>
      </w:r>
      <w:r>
        <w:t xml:space="preserve"> </w:t>
      </w:r>
      <w:r>
        <w:t xml:space="preserve">were retained only as follow-up hypotheses because they intersected with feature stability, MR prioritization, or functional context. Together, these patterns argue that bulk expression signatures should be interpreted with spatial and cellular context, but they do not yet justify a diagnostic or therapeutic strategy.</w:t>
      </w:r>
    </w:p>
    <w:bookmarkEnd w:id="82"/>
    <w:bookmarkStart w:id="83" w:name="kcnab2-as-a-candidate-context-feature"/>
    <w:p>
      <w:pPr>
        <w:pStyle w:val="Heading2"/>
      </w:pPr>
      <w:r>
        <w:t xml:space="preserve">KCNAB2 as a Candidate Context Feature</w:t>
      </w:r>
    </w:p>
    <w:p>
      <w:pPr>
        <w:pStyle w:val="FirstParagraph"/>
      </w:pPr>
      <w:r>
        <w:rPr>
          <w:b/>
          <w:bCs/>
          <w:i/>
          <w:iCs/>
        </w:rPr>
        <w:t xml:space="preserve">KCNAB2</w:t>
      </w:r>
      <w:r>
        <w:t xml:space="preserve">, a potassium-channel subunit, emerged as a recurrent candidate in feature selection and MR-prioritized analyses. Its co-occurrence with C1Q-associated immune contexts raises the hypothesis that ion-channel-related programs may track macrophage or immune-effector state, but the present data cannot determine cell type of action or functional direction. We therefore describe</w:t>
      </w:r>
      <w:r>
        <w:t xml:space="preserve"> </w:t>
      </w:r>
      <w:r>
        <w:rPr>
          <w:i/>
          <w:iCs/>
        </w:rPr>
        <w:t xml:space="preserve">KCNAB2</w:t>
      </w:r>
      <w:r>
        <w:t xml:space="preserve"> </w:t>
      </w:r>
      <w:r>
        <w:t xml:space="preserve">as a candidate context feature, not a metabolic checkpoint, therapeutic target, or spatial organizer. Its status should be tested using cell-type-resolved protein assays, perturbation experiments, and prospective outcome cohorts.</w:t>
      </w:r>
    </w:p>
    <w:bookmarkEnd w:id="83"/>
    <w:bookmarkStart w:id="84" w:name="X2a8d63671c4fe7a5782427d3dc51007e084f591"/>
    <w:p>
      <w:pPr>
        <w:pStyle w:val="Heading2"/>
      </w:pPr>
      <w:r>
        <w:t xml:space="preserve">Machine Learning Model Behavior and Its Limits</w:t>
      </w:r>
    </w:p>
    <w:p>
      <w:pPr>
        <w:pStyle w:val="FirstParagraph"/>
      </w:pPr>
      <w:r>
        <w:t xml:space="preserve">Score behavior depended on the metric used. XGBoost achieved the highest internal AUC, whereas other models had comparable or higher ranking metrics; therefore, the algorithm comparison should not be read as evidence of clinical superiority. AdaBoost was retained only as a reference model for describing one internally traceable score.</w:t>
      </w:r>
    </w:p>
    <w:p>
      <w:pPr>
        <w:pStyle w:val="BodyText"/>
      </w:pPr>
      <w:r>
        <w:t xml:space="preserve">The model captured statistically detectable but modest prognostic signal and should not be used for individual patient decision-making. Decision-curve analysis is included only as exploratory visualization. External GSE31210 results were directionally supportive but not definitive, and the small ICB cohorts cannot establish ICI response-associated score utility or superiority over PD-L1, TMB, clinical-only models, stage-only models, or published immune signatures.</w:t>
      </w:r>
    </w:p>
    <w:bookmarkEnd w:id="84"/>
    <w:bookmarkStart w:id="85" w:name="future-translation-requirements"/>
    <w:p>
      <w:pPr>
        <w:pStyle w:val="Heading2"/>
      </w:pPr>
      <w:r>
        <w:t xml:space="preserve">Future Translation Requirements</w:t>
      </w:r>
    </w:p>
    <w:p>
      <w:pPr>
        <w:pStyle w:val="FirstParagraph"/>
      </w:pPr>
      <w:r>
        <w:t xml:space="preserve">Future translation would require a locked feature set, preprocessing pipeline, model, and cutoff before testing; adequately powered NSCLC-only immunotherapy cohorts; patient- or section-level spatial summaries that avoid cell-count inflation; comparison with stage-only, clinical-only, PD-L1, TMB, and published immune-signature baselines; multiplex FFPE-compatible spatial protein confirmation; and experimental testing of whether C1Q/SPP1-associated macrophage states influence T-cell localization or activity. Only after these steps would a simplified pathological or molecular panel be justified.</w:t>
      </w:r>
    </w:p>
    <w:bookmarkEnd w:id="85"/>
    <w:bookmarkStart w:id="86" w:name="limitations-and-future-directions"/>
    <w:p>
      <w:pPr>
        <w:pStyle w:val="Heading2"/>
      </w:pPr>
      <w:r>
        <w:t xml:space="preserve">Limitations and Future Directions</w:t>
      </w:r>
    </w:p>
    <w:p>
      <w:pPr>
        <w:pStyle w:val="FirstParagraph"/>
      </w:pPr>
      <w: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 and the available spatial data do not support a locked patient-level spatial classifier. The GSE91061 cohort is melanoma rather than NSCLC, and the NSCLC ICB cohorts are small. Integration with PD-L1, TMB, ctDNA dynamics, TCR repertoire, line of therapy, treatment regimen, and response-assessment metadata will be needed before incremental value can be assessed. Additional limitations include cross-platform technical variance, possible residual confounding, and the absence of direct wet-lab functional assays. The model has not been tested in neoadjuvant immunotherapy, prospective randomized settings, or an independently locked NSCLC ICB response cohort.</w:t>
      </w:r>
    </w:p>
    <w:p>
      <w:pPr>
        <w:pStyle w:val="BodyText"/>
      </w:pPr>
      <w:r>
        <w:t xml:space="preserve">Overall, the study provides a public-data framework for tracing macrophage-context signals across molecular and spatial layers. Its most immediate value is hypothesis prioritization for future spatial and functional testing.</w:t>
      </w:r>
    </w:p>
    <w:bookmarkEnd w:id="86"/>
    <w:bookmarkEnd w:id="87"/>
    <w:bookmarkStart w:id="88" w:name="sec:conclusions"/>
    <w:p>
      <w:pPr>
        <w:pStyle w:val="Heading1"/>
      </w:pPr>
      <w:r>
        <w:t xml:space="preserve">Conclusions</w:t>
      </w:r>
    </w:p>
    <w:p>
      <w:pPr>
        <w:pStyle w:val="FirstParagraph"/>
      </w:pPr>
      <w:r>
        <w:t xml:space="preserve">This study identifies C1Q/SPP1 as a cross-dataset macrophage-context traceability feature in public NSCLC resources. The principal contribution is not a deployable classifier, but a transparent evidence chain linking feature stability, MR-based prioritization, patient-limited spatial organization, and cautious outcome traceability. C1Q-family genes showed moderate spatial clustering, SPP1 showed stronger spatial compartmentalization, and retrospective score behavior suggested modest outcome-linked signal. These findings prioritize a macrophage-context axis for prospective, NSCLC-specific, spatially resolved evaluation and experimental testing. They should not be interpreted as a validated biomarker, treatment-selection rule, causal mechanism, or therapeutic-target claim.</w:t>
      </w:r>
    </w:p>
    <w:bookmarkEnd w:id="88"/>
    <w:bookmarkStart w:id="97" w:name="supplementary-information"/>
    <w:p>
      <w:pPr>
        <w:pStyle w:val="Heading1"/>
      </w:pPr>
      <w:r>
        <w:t xml:space="preserve">Supplementary Information</w:t>
      </w:r>
    </w:p>
    <w:p>
      <w:pPr>
        <w:pStyle w:val="FirstParagraph"/>
      </w:pPr>
      <w:r>
        <w:rPr>
          <w:b/>
          <w:bCs/>
        </w:rPr>
        <w:t xml:space="preserve">Additional file 1: Supplementary Material.</w:t>
      </w:r>
      <w:r>
        <w:t xml:space="preserve"> </w:t>
      </w:r>
      <w:r>
        <w:t xml:space="preserve">Contains Supplementary Figures S1–S12 and Supplementary Tables S1–S13, including feature-selection stability, MR diagnostics, spatial summaries, model-performance tables, external-cohort covariate summaries, and reporting-boundary tables.</w:t>
      </w:r>
    </w:p>
    <w:p>
      <w:pPr>
        <w:pStyle w:val="BodyText"/>
      </w:pPr>
      <w: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BodyText"/>
      </w:pPr>
      <w:r>
        <w:t xml:space="preserve">Not applicable. This manuscript does not contain identifiable individual-person data. Public Human Protein Atlas images are used only as non-identifiable protein-expression context and are cited with source and license information.</w:t>
      </w:r>
    </w:p>
    <w:p>
      <w:pPr>
        <w:pStyle w:val="BodyText"/>
      </w:pPr>
      <w:r>
        <w:t xml:space="preserve">Publicly available datasets were analyzed in this study. These data can be found here:</w:t>
      </w:r>
    </w:p>
    <w:p>
      <w:pPr>
        <w:numPr>
          <w:ilvl w:val="0"/>
          <w:numId w:val="1004"/>
        </w:numPr>
      </w:pPr>
      <w:r>
        <w:t xml:space="preserve">The Cancer Genome Atlas (TCGA) NSCLC cohort data: NCI Genomic Data Commons (GDC) Portal (</w:t>
      </w:r>
      <w:hyperlink r:id="rId89">
        <w:r>
          <w:rPr>
            <w:rStyle w:val="Hyperlink"/>
          </w:rPr>
          <w:t xml:space="preserve">https://portal.gdc.cancer.gov</w:t>
        </w:r>
      </w:hyperlink>
      <w:r>
        <w:t xml:space="preserve">).</w:t>
      </w:r>
    </w:p>
    <w:p>
      <w:pPr>
        <w:numPr>
          <w:ilvl w:val="0"/>
          <w:numId w:val="1004"/>
        </w:numPr>
      </w:pPr>
      <w:r>
        <w:t xml:space="preserve">Gene Expression Omnibus datasets: NCBI GEO</w:t>
      </w:r>
      <w:r>
        <w:t xml:space="preserve"> </w:t>
      </w:r>
      <w:r>
        <w:t xml:space="preserve"> </w:t>
      </w:r>
      <w:r>
        <w:t xml:space="preserve">(</w:t>
      </w:r>
      <w:hyperlink r:id="rId90">
        <w:r>
          <w:rPr>
            <w:rStyle w:val="Hyperlink"/>
          </w:rPr>
          <w:t xml:space="preserve">https://www.ncbi.nlm.nih.gov/geo/</w:t>
        </w:r>
      </w:hyperlink>
      <w:r>
        <w:t xml:space="preserve">).</w:t>
      </w:r>
    </w:p>
    <w:p>
      <w:pPr>
        <w:numPr>
          <w:ilvl w:val="1"/>
          <w:numId w:val="1005"/>
        </w:numPr>
      </w:pPr>
      <w:r>
        <w:t xml:space="preserve">GSE31210: Lung adenocarcinoma traceability cohort (N=226 accession-level samples; N=178 analyzed with complete follow-up)</w:t>
      </w:r>
    </w:p>
    <w:p>
      <w:pPr>
        <w:numPr>
          <w:ilvl w:val="1"/>
          <w:numId w:val="1005"/>
        </w:numPr>
      </w:pPr>
      <w:r>
        <w:t xml:space="preserve">GSE91061: Melanoma immunotherapy cohort (N=109 samples)</w:t>
      </w:r>
    </w:p>
    <w:p>
      <w:pPr>
        <w:numPr>
          <w:ilvl w:val="1"/>
          <w:numId w:val="1005"/>
        </w:numPr>
      </w:pPr>
      <w:r>
        <w:t xml:space="preserve">GSE126044: NSCLC anti-PD-1 therapy cohort (N=16 patients)</w:t>
      </w:r>
    </w:p>
    <w:p>
      <w:pPr>
        <w:numPr>
          <w:ilvl w:val="1"/>
          <w:numId w:val="1005"/>
        </w:numPr>
      </w:pPr>
      <w:r>
        <w:t xml:space="preserve">GSE135222: NSCLC PD-1/PD-L1 inhibitor cohort (N=27 patients)</w:t>
      </w:r>
    </w:p>
    <w:p>
      <w:pPr>
        <w:numPr>
          <w:ilvl w:val="0"/>
          <w:numId w:val="1004"/>
        </w:numPr>
      </w:pPr>
      <w:r>
        <w:t xml:space="preserve">eQTL summary statistics: eQTL Catalogue (</w:t>
      </w:r>
      <w:hyperlink r:id="rId91">
        <w:r>
          <w:rPr>
            <w:rStyle w:val="Hyperlink"/>
          </w:rPr>
          <w:t xml:space="preserve">https://www.ebi.ac.uk/eqtl/</w:t>
        </w:r>
      </w:hyperlink>
      <w:r>
        <w:t xml:space="preserve">) and eQTLGen Consortium (</w:t>
      </w:r>
      <w:hyperlink r:id="rId92">
        <w:r>
          <w:rPr>
            <w:rStyle w:val="Hyperlink"/>
          </w:rPr>
          <w:t xml:space="preserve">https://www.eqtlgen.org/</w:t>
        </w:r>
      </w:hyperlink>
      <w:r>
        <w:t xml:space="preserve">).</w:t>
      </w:r>
    </w:p>
    <w:p>
      <w:pPr>
        <w:numPr>
          <w:ilvl w:val="0"/>
          <w:numId w:val="1004"/>
        </w:numPr>
      </w:pPr>
      <w:r>
        <w:t xml:space="preserve">GTEx v8 data: GTEx Portal (</w:t>
      </w:r>
      <w:hyperlink r:id="rId93">
        <w:r>
          <w:rPr>
            <w:rStyle w:val="Hyperlink"/>
          </w:rPr>
          <w:t xml:space="preserve">https://gtexportal.org/</w:t>
        </w:r>
      </w:hyperlink>
      <w:r>
        <w:t xml:space="preserve">).</w:t>
      </w:r>
    </w:p>
    <w:p>
      <w:pPr>
        <w:numPr>
          <w:ilvl w:val="0"/>
          <w:numId w:val="1004"/>
        </w:numPr>
      </w:pPr>
      <w:r>
        <w:t xml:space="preserve">Immunohistochemistry images: Human Protein Atlas</w:t>
      </w:r>
      <w:r>
        <w:t xml:space="preserve"> </w:t>
      </w:r>
      <w:r>
        <w:t xml:space="preserve"> </w:t>
      </w:r>
      <w:r>
        <w:t xml:space="preserve">(</w:t>
      </w:r>
      <w:hyperlink r:id="rId94">
        <w:r>
          <w:rPr>
            <w:rStyle w:val="Hyperlink"/>
          </w:rPr>
          <w:t xml:space="preserve">https://www.proteinatlas.org</w:t>
        </w:r>
      </w:hyperlink>
      <w:r>
        <w:t xml:space="preserve">); figure-specific source and license notes are provided in the source-data manifest.</w:t>
      </w:r>
    </w:p>
    <w:p>
      <w:pPr>
        <w:pStyle w:val="FirstParagraph"/>
      </w:pPr>
      <w:r>
        <w:t xml:space="preserve">The source-data manifest, processed analysis tables, manuscript files, figures, and reproducibility notes are available in a public GitHub repository:</w:t>
      </w:r>
      <w:r>
        <w:t xml:space="preserve"> </w:t>
      </w:r>
      <w:hyperlink r:id="rId95">
        <w:r>
          <w:rPr>
            <w:rStyle w:val="Hyperlink"/>
          </w:rPr>
          <w:t xml:space="preserve">https://github.com/morningLxj/spatial-immunotherapy-prediction</w:t>
        </w:r>
      </w:hyperlink>
      <w:r>
        <w:t xml:space="preserve">. The repository includes a machine-readable source-data archive and claim-to-source mapping for reviewer inspection. It is intended to support traceability and source-data verification, not to provide a clinical implementation package or a complete raw-data-to-figure re-analysis pipeline.</w:t>
      </w:r>
    </w:p>
    <w:p>
      <w:pPr>
        <w:pStyle w:val="BodyText"/>
      </w:pPr>
      <w:r>
        <w:t xml:space="preserve">Repository integrity checks and reproducibility notes are available at</w:t>
      </w:r>
      <w:r>
        <w:t xml:space="preserve"> </w:t>
      </w:r>
      <w:hyperlink r:id="rId95">
        <w:r>
          <w:rPr>
            <w:rStyle w:val="Hyperlink"/>
          </w:rPr>
          <w:t xml:space="preserve">https://github.com/morningLxj/spatial-immunotherapy-prediction</w:t>
        </w:r>
      </w:hyperlink>
      <w:r>
        <w:t xml:space="preserve">. The included script verifies the expected source-data archive, lists its contents, and writes a source-data inventory. Public-data acquisition and complete re-analysis from raw source repositories should be treated as a separate workflow and, if required by the journal or reviewers, archived as a versioned release before final publication.</w:t>
      </w:r>
    </w:p>
    <w:p>
      <w:pPr>
        <w:pStyle w:val="BodyText"/>
      </w:pPr>
      <w:r>
        <w:t xml:space="preserve">The manuscript was revised using STROBE principles for observational retrospective analyses and TRIPOD-AI considerations where applicable. Because the work is a public-data evidence synthesis rather than a locked clinical model-development study, the model results are presented as exploratory score behavior.</w:t>
      </w:r>
    </w:p>
    <w:p>
      <w:pPr>
        <w:pStyle w:val="BodyText"/>
      </w:pPr>
      <w:r>
        <w:t xml:space="preserve">The authors declare that they have no competing interests, financial or otherwise, that could influence the work reported in this paper.</w:t>
      </w:r>
    </w:p>
    <w:p>
      <w:pPr>
        <w:pStyle w:val="BodyText"/>
      </w:pPr>
      <w: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BodyText"/>
      </w:pPr>
      <w:r>
        <w:t xml:space="preserve">Xiongjie Li conceived and supervised the study, contributed to study design, and revised the manuscript. Fengyue Zhang, Chaojia Luo, and Xuan Xu contributed to data interpretation, manuscript drafting or revision, and critical review. All authors read and approved the final manuscript.</w:t>
      </w:r>
    </w:p>
    <w:p>
      <w:pPr>
        <w:pStyle w:val="BodyText"/>
      </w:pPr>
      <w:r>
        <w:t xml:space="preserve">Xiongjie Li:</w:t>
      </w:r>
      <w:r>
        <w:t xml:space="preserve"> </w:t>
      </w:r>
      <w:hyperlink r:id="rId96">
        <w:r>
          <w:rPr>
            <w:rStyle w:val="Hyperlink"/>
          </w:rPr>
          <w:t xml:space="preserve">https://orcid.org/0009-0005-9507-6829</w:t>
        </w:r>
      </w:hyperlink>
      <w:r>
        <w:t xml:space="preserve">.</w:t>
      </w:r>
    </w:p>
    <w:p>
      <w:pPr>
        <w:pStyle w:val="BodyText"/>
      </w:pPr>
      <w:r>
        <w:t xml:space="preserve">The authors thank the investigators and participants of the public datasets and resources used in this study, including TCGA, GEO, eQTLGen, GTEx, and the Human Protein Atlas.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hyperlink" Id="rId95" Target="https://github.com/morningLxj/spatial-immunotherapy-prediction" TargetMode="External" /><Relationship Type="http://schemas.openxmlformats.org/officeDocument/2006/relationships/hyperlink" Id="rId93" Target="https://gtexportal.org/" TargetMode="External" /><Relationship Type="http://schemas.openxmlformats.org/officeDocument/2006/relationships/hyperlink" Id="rId96" Target="https://orcid.org/0009-0005-9507-6829" TargetMode="External" /><Relationship Type="http://schemas.openxmlformats.org/officeDocument/2006/relationships/hyperlink" Id="rId89" Target="https://portal.gdc.cancer.gov" TargetMode="External" /><Relationship Type="http://schemas.openxmlformats.org/officeDocument/2006/relationships/hyperlink" Id="rId91" Target="https://www.ebi.ac.uk/eqtl/" TargetMode="External" /><Relationship Type="http://schemas.openxmlformats.org/officeDocument/2006/relationships/hyperlink" Id="rId92" Target="https://www.eqtlgen.org/" TargetMode="External" /><Relationship Type="http://schemas.openxmlformats.org/officeDocument/2006/relationships/hyperlink" Id="rId90" Target="https://www.ncbi.nlm.nih.gov/geo/" TargetMode="External" /><Relationship Type="http://schemas.openxmlformats.org/officeDocument/2006/relationships/hyperlink" Id="rId94" Target="https://www.proteinatlas.org" TargetMode="External" /></Relationships>
</file>

<file path=word/_rels/footnotes.xml.rels><?xml version="1.0" encoding="UTF-8"?><Relationships xmlns="http://schemas.openxmlformats.org/package/2006/relationships"><Relationship Type="http://schemas.openxmlformats.org/officeDocument/2006/relationships/hyperlink" Id="rId95" Target="https://github.com/morningLxj/spatial-immunotherapy-prediction" TargetMode="External" /><Relationship Type="http://schemas.openxmlformats.org/officeDocument/2006/relationships/hyperlink" Id="rId93" Target="https://gtexportal.org/" TargetMode="External" /><Relationship Type="http://schemas.openxmlformats.org/officeDocument/2006/relationships/hyperlink" Id="rId96" Target="https://orcid.org/0009-0005-9507-6829" TargetMode="External" /><Relationship Type="http://schemas.openxmlformats.org/officeDocument/2006/relationships/hyperlink" Id="rId89" Target="https://portal.gdc.cancer.gov" TargetMode="External" /><Relationship Type="http://schemas.openxmlformats.org/officeDocument/2006/relationships/hyperlink" Id="rId91" Target="https://www.ebi.ac.uk/eqtl/" TargetMode="External" /><Relationship Type="http://schemas.openxmlformats.org/officeDocument/2006/relationships/hyperlink" Id="rId92" Target="https://www.eqtlgen.org/" TargetMode="External" /><Relationship Type="http://schemas.openxmlformats.org/officeDocument/2006/relationships/hyperlink" Id="rId90" Target="https://www.ncbi.nlm.nih.gov/geo/" TargetMode="External" /><Relationship Type="http://schemas.openxmlformats.org/officeDocument/2006/relationships/hyperlink" Id="rId94" Target="https://www.proteinatla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Traceability Feature in Non-Small Cell Lung Cancer: A Public Multi-Cohort Cancer-Informatics Study</dc:title>
  <dc:creator>; ; ; </dc:creator>
  <cp:keywords/>
  <dcterms:created xsi:type="dcterms:W3CDTF">2026-06-23T14:38:22Z</dcterms:created>
  <dcterms:modified xsi:type="dcterms:W3CDTF">2026-06-23T14:38:22Z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kind">
    <vt:lpwstr>main</vt:lpwstr>
  </property>
</Properties>
</file>