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sz w:val="28"/>
        </w:rPr>
        <w:t xml:space="preserve">Introduction</w:t>
      </w:r>
    </w:p>
    <w:p>
      <w:pPr>
        <w:pStyle w:val="FirstParagraph"/>
        <w:spacing w:after="120" w:line="276" w:lineRule="auto"/>
      </w:pPr>
      <w:r>
        <w:rPr>
          <w:rFonts w:ascii="Times New Roman" w:hAnsi="Times New Roman" w:eastAsia="Times New Roman"/>
          <w:b w:val="0"/>
          <w:i w:val="0"/>
          <w:sz w:val="22"/>
        </w:rPr>
        <w:t>Non-small cell lung cancer (NSCLC) remains a major cause of cancer mortality, and immune checkpoint blockade has improved outcomes for a subset of patients1-5. However, PD-L1 expression, tumor mutational burden, and bulk immune-expression summaries do not fully capture the spatial and cellular organization of the tumor microenvironment (TME)6,7.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tissue context8-10.</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sz w:val="28"/>
        </w:rPr>
        <w:t xml:space="preserve">Methods</w:t>
      </w:r>
    </w:p>
    <w:bookmarkStart w:id="18" w:name="subsec:study_design"/>
    <w:p>
      <w:pPr>
        <w:pStyle w:val="Heading2"/>
        <w:spacing w:line="276" w:lineRule="auto"/>
      </w:pPr>
      <w:r>
        <w:rPr>
          <w:rFonts w:ascii="Times New Roman" w:hAnsi="Times New Roman" w:eastAsia="Times New Roman"/>
          <w:b/>
          <w:sz w:val="24"/>
        </w:rPr>
        <w:t xml:space="preserve">Study Design and Evidence Hierarchy</w:t>
      </w:r>
    </w:p>
    <w:p>
      <w:pPr>
        <w:pStyle w:val="FirstParagraph"/>
        <w:spacing w:after="120" w:line="276" w:lineRule="auto"/>
      </w:pPr>
      <w:r>
        <w:rPr>
          <w:rFonts w:ascii="Times New Roman" w:hAnsi="Times New Roman" w:eastAsia="Times New Roman"/>
          <w:sz w:val="22"/>
        </w:rPr>
        <w:t>This study used a staged, retrospective public-data design11-13.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1). No external cohort was used to tune the feature set, select a cutoff, or optimize hyperparameters.</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1. Integrated study design and evidence overview.</w:t>
      </w:r>
      <w:r>
        <w:rPr>
          <w:rFonts w:ascii="Times New Roman" w:hAnsi="Times New Roman" w:eastAsia="Times New Roman"/>
          <w:b w:val="0"/>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sz w:val="22"/>
        </w:rPr>
        <w:t xml:space="preserve">Data Acquisition and Quality Control</w:t>
      </w:r>
    </w:p>
    <w:p>
      <w:pPr>
        <w:pStyle w:val="FirstParagraph"/>
        <w:spacing w:after="120" w:line="276" w:lineRule="auto"/>
      </w:pPr>
      <w:r>
        <w:rPr>
          <w:rFonts w:ascii="Times New Roman" w:hAnsi="Times New Roman" w:eastAsia="Times New Roman"/>
          <w:b w:val="0"/>
          <w:i w:val="0"/>
          <w:sz w:val="22"/>
        </w:rPr>
        <w:t>Discovery Cohort (TCGA): TCGA LUAD and LUSC transcriptomic and clinical data were retrieved from the NCI Genomic Data Commons14,15.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m:oMath>
        <m:r>
          <m:t>μ</m:t>
        </m:r>
      </m:oMath>
      <w:r>
        <w:rPr>
          <w:rFonts w:ascii="Times New Roman" w:hAnsi="Times New Roman" w:eastAsia="Times New Roman"/>
          <w:b w:val="0"/>
          <w:i w:val="0"/>
          <w:sz w:val="22"/>
        </w:rPr>
        <w:t>10x Visium: Included 8 tissue sections from 1 patient (Supplementary Table S12), utilizing a 55 um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b w:val="0"/>
          <w:i w:val="0"/>
          <w:sz w:val="22"/>
        </w:rPr>
        <w:t>Phase 1: MR-based gene prioritization: Mendelian randomization (MR) was used to prioritize genes with expression-linked immune-context associations16, not to prove mechanism or treatment relevance. We used eQTL data from eQTLGen17 and GTEx v8 with TwoSampleMR (v0.5.6), and inspected sensitivity diagnostics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spacing w:before="60" w:after="160" w:line="276" w:lineRule="auto"/>
        <w:jc w:val="left"/>
      </w:pPr>
      <w:r>
        <w:rPr>
          <w:rFonts w:ascii="Times New Roman" w:hAnsi="Times New Roman" w:eastAsia="Times New Roman"/>
          <w:b/>
          <w:sz w:val="20"/>
        </w:rPr>
        <w:t>Table 1.</w:t>
      </w:r>
      <w:r>
        <w:rPr>
          <w:rFonts w:ascii="Times New Roman" w:hAnsi="Times New Roman" w:eastAsia="Times New Roman"/>
          <w:b w:val="0"/>
          <w:sz w:val="20"/>
        </w:rPr>
        <w:t xml:space="preserve">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sz w:val="22"/>
        </w:rPr>
        <w:t xml:space="preserve">Statistical Analysis</w:t>
      </w:r>
    </w:p>
    <w:p>
      <w:pPr>
        <w:pStyle w:val="FirstParagraph"/>
        <w:spacing w:after="120" w:line="276" w:lineRule="auto"/>
      </w:pPr>
      <w:r>
        <w:rPr>
          <w:rFonts w:ascii="Times New Roman" w:hAnsi="Times New Roman" w:eastAsia="Times New Roman"/>
          <w:b w:val="0"/>
          <w:i w:val="0"/>
          <w:sz w:val="22"/>
        </w:rPr>
        <w:t>All statistical analyses were performed using R and Python. Python-based data manipulation and visualization used Pandas18, NumPy19, SciPy20, Matplotlib21, and Seaborn22. Machine-learning tasks used Scikit-learn23.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spacing w:line="276" w:lineRule="auto"/>
      </w:pPr>
      <w:r>
        <w:rPr>
          <w:rFonts w:ascii="Times New Roman" w:hAnsi="Times New Roman" w:eastAsia="Times New Roman"/>
          <w:b/>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sz w:val="24"/>
        </w:rPr>
        <w:t xml:space="preserve">Nested Cross-Validation Framework</w:t>
      </w:r>
    </w:p>
    <w:p>
      <w:pPr>
        <w:pStyle w:val="FirstParagraph"/>
        <w:spacing w:after="120" w:line="276" w:lineRule="auto"/>
      </w:pPr>
      <m:oMath>
        <m:r>
          <m:rPr>
            <m:sty m:val="p"/>
          </m:rPr>
          <m:t>×</m:t>
        </m:r>
      </m:oMath>
      <m:oMath>
        <m:r>
          <m:t>λ</m:t>
        </m:r>
        <m:r>
          <m:rPr>
            <m:sty m:val="p"/>
          </m:rPr>
          <m:t>=</m:t>
        </m:r>
        <m:r>
          <m:t>0.002</m:t>
        </m:r>
      </m:oMath>
      <w:r>
        <w:rPr>
          <w:rFonts w:ascii="Times New Roman" w:hAnsi="Times New Roman" w:eastAsia="Times New Roman"/>
          <w:b w:val="0"/>
          <w:i w:val="0"/>
          <w:sz w:val="22"/>
        </w:rPr>
        <w:t>To reduce data leakage and estimate feature stability, we used 5 x 5 nested cross-validation. The outer loop used stratified 5-fold splits for held-out assessment, and the inner loop used LASSO feature selection with cross-validated regularization. The final lambda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sz w:val="24"/>
        </w:rPr>
        <w:t xml:space="preserve">Mendelian Randomization for Gene Prioritization</w:t>
      </w:r>
    </w:p>
    <w:p>
      <w:pPr>
        <w:pStyle w:val="FirstParagraph"/>
        <w:spacing w:after="120" w:line="276" w:lineRule="auto"/>
      </w:pPr>
      <w:r>
        <w:rPr>
          <w:rFonts w:ascii="Times New Roman" w:hAnsi="Times New Roman" w:eastAsia="Times New Roman"/>
          <w:b w:val="0"/>
          <w:i w:val="0"/>
          <w:sz w:val="22"/>
        </w:rPr>
        <w:t>We used two-sample Mendelian randomization24 (MR), implemented in the TwoSampleMR R package, as a gene-prioritization layer. MR estimates were interpreted as expression-linked associations under instrumental-variable assumptions, not as proof of spatial mechanism, therapeutic actionability, or clinical utility.</w:t>
      </w:r>
    </w:p>
    <w:p>
      <w:pPr>
        <w:pStyle w:val="BodyText"/>
        <w:spacing w:after="120" w:line="276" w:lineRule="auto"/>
      </w:pPr>
      <m:oMath>
        <m:r>
          <m:t>P</m:t>
        </m:r>
        <m:r>
          <m:rPr>
            <m:sty m:val="p"/>
          </m:rPr>
          <m:t>&lt;</m:t>
        </m:r>
        <m:r>
          <m:t>5</m:t>
        </m:r>
        <m:r>
          <m:rPr>
            <m:sty m:val="p"/>
          </m:rPr>
          <m:t>×</m:t>
        </m:r>
        <m:sSup>
          <m:e>
            <m:r>
              <m:t>10</m:t>
            </m:r>
          </m:e>
          <m:sup>
            <m:r>
              <m:rPr>
                <m:sty m:val="p"/>
              </m:rPr>
              <m:t>−</m:t>
            </m:r>
            <m:r>
              <m:t>8</m:t>
            </m:r>
          </m:sup>
        </m:sSup>
      </m:oMath>
      <m:oMath>
        <m:sSup>
          <m:e>
            <m:r>
              <m:t>r</m:t>
            </m:r>
          </m:e>
          <m:sup>
            <m:r>
              <m:t>2</m:t>
            </m:r>
          </m:sup>
        </m:sSup>
        <m:r>
          <m:rPr>
            <m:sty m:val="p"/>
          </m:rPr>
          <m:t>&lt;</m:t>
        </m:r>
        <m:r>
          <m:t>0.001</m:t>
        </m:r>
      </m:oMath>
      <w:r>
        <w:rPr>
          <w:rFonts w:ascii="Times New Roman" w:hAnsi="Times New Roman" w:eastAsia="Times New Roman"/>
          <w:b w:val="0"/>
          <w:i w:val="0"/>
          <w:sz w:val="22"/>
        </w:rPr>
        <w:t>Instrumental variables were selected at genome-wide significance (P &lt; 5 x 10^-8), LD-pruned (r^2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sz w:val="22"/>
        </w:rPr>
        <w:t xml:space="preserve">Spatial Co-localization Analysis</w:t>
      </w:r>
    </w:p>
    <w:p>
      <w:pPr>
        <w:pStyle w:val="FirstParagraph"/>
        <w:spacing w:after="120" w:line="276" w:lineRule="auto"/>
      </w:pPr>
      <m:oMath>
        <m:r>
          <m:t>μ</m:t>
        </m:r>
      </m:oMath>
      <m:oMath>
        <m:r>
          <m:t>μ</m:t>
        </m:r>
      </m:oMath>
      <m:oMath>
        <m:r>
          <m:t>μ</m:t>
        </m:r>
      </m:oMath>
      <w:r>
        <w:rPr>
          <w:rFonts w:ascii="Times New Roman" w:hAnsi="Times New Roman" w:eastAsia="Times New Roman"/>
          <w:b w:val="0"/>
          <w:i w:val="0"/>
          <w:sz w:val="22"/>
        </w:rPr>
        <w:t>To assess spatial context among C1Q, SPP1, and immune-marker programs, we calculated correlations and local spatial statistics across multiple spatial scales (50 um, 100 um, and 200 um where available)25,26.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spacing w:before="60" w:after="160" w:line="276" w:lineRule="auto"/>
        <w:jc w:val="left"/>
      </w:pPr>
      <w:r>
        <w:rPr>
          <w:rFonts w:ascii="Times New Roman" w:hAnsi="Times New Roman" w:eastAsia="Times New Roman"/>
          <w:b/>
          <w:sz w:val="20"/>
        </w:rPr>
        <w:t>Table 2.</w:t>
      </w:r>
      <w:r>
        <w:rPr>
          <w:rFonts w:ascii="Times New Roman" w:hAnsi="Times New Roman" w:eastAsia="Times New Roman"/>
          <w:b w:val="0"/>
          <w:sz w:val="20"/>
        </w:rPr>
        <w:t xml:space="preserve">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spacing w:before="60" w:after="160" w:line="276" w:lineRule="auto"/>
        <w:jc w:val="left"/>
      </w:pPr>
      <w:r>
        <w:rPr>
          <w:rFonts w:ascii="Times New Roman" w:hAnsi="Times New Roman" w:eastAsia="Times New Roman"/>
          <w:b/>
          <w:sz w:val="20"/>
        </w:rPr>
        <w:t>Table 3.</w:t>
      </w:r>
      <w:r>
        <w:rPr>
          <w:rFonts w:ascii="Times New Roman" w:hAnsi="Times New Roman" w:eastAsia="Times New Roman"/>
          <w:b w:val="0"/>
          <w:sz w:val="20"/>
        </w:rPr>
        <w:t xml:space="preserve">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2. MR-based gene prioritization.</w:t>
      </w:r>
      <w:r>
        <w:rPr>
          <w:rFonts w:ascii="Times New Roman" w:hAnsi="Times New Roman" w:eastAsia="Times New Roman"/>
          <w:b w:val="0"/>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3. Spatial clustering of the C1Q/SPP1 axis.</w:t>
      </w:r>
      <w:r>
        <w:rPr>
          <w:rFonts w:ascii="Times New Roman" w:hAnsi="Times New Roman" w:eastAsia="Times New Roman"/>
          <w:b w:val="0"/>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4. Spatial context of C1Q-associated macrophage states.</w:t>
      </w:r>
      <w:r>
        <w:rPr>
          <w:rFonts w:ascii="Times New Roman" w:hAnsi="Times New Roman" w:eastAsia="Times New Roman"/>
          <w:b w:val="0"/>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sz w:val="24"/>
        </w:rPr>
        <w:t xml:space="preserve">Counterfactual Scoring Shows Dependency of the C1Q Module</w:t>
      </w:r>
    </w:p>
    <w:p>
      <w:pPr>
        <w:pStyle w:val="FirstParagraph"/>
        <w:spacing w:after="120" w:line="276" w:lineRule="auto"/>
      </w:pPr>
      <m:oMath>
        <m:r>
          <m:rPr>
            <m:sty m:val="p"/>
          </m:rPr>
          <m:t>→</m:t>
        </m:r>
      </m:oMath>
      <m:oMath>
        <m:r>
          <m:rPr>
            <m:sty m:val="p"/>
          </m:rPr>
          <m:t>→</m:t>
        </m:r>
      </m:oMath>
      <m:oMath>
        <m:r>
          <m:rPr>
            <m:sty m:val="p"/>
          </m:rPr>
          <m:t>Δ</m:t>
        </m:r>
      </m:oMath>
      <w:r>
        <w:rPr>
          <w:rFonts w:ascii="Times New Roman" w:hAnsi="Times New Roman" w:eastAsia="Times New Roman"/>
          <w:b w:val="0"/>
          <w:i w:val="0"/>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5.179 -&gt; 2.628) and decreased Moran's I (0.660 -&gt; 0.401; delta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5. Counterfactual scoring sensitivity of the C1Q axis.</w:t>
      </w:r>
      <w:r>
        <w:rPr>
          <w:rFonts w:ascii="Times New Roman" w:hAnsi="Times New Roman" w:eastAsia="Times New Roman"/>
          <w:b w:val="0"/>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6. Retrospective score behavior of the C1Q-centered feature set.</w:t>
      </w:r>
      <w:r>
        <w:rPr>
          <w:rFonts w:ascii="Times New Roman" w:hAnsi="Times New Roman" w:eastAsia="Times New Roman"/>
          <w:b w:val="0"/>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7. External traceability and transferability.</w:t>
      </w:r>
      <w:r>
        <w:rPr>
          <w:rFonts w:ascii="Times New Roman" w:hAnsi="Times New Roman" w:eastAsia="Times New Roman"/>
          <w:b w:val="0"/>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spacing w:before="60" w:after="160" w:line="276" w:lineRule="auto"/>
        <w:jc w:val="left"/>
      </w:pPr>
      <w:r>
        <w:rPr>
          <w:rFonts w:ascii="Times New Roman" w:hAnsi="Times New Roman" w:eastAsia="Times New Roman"/>
          <w:b/>
          <w:sz w:val="20"/>
        </w:rPr>
        <w:t>Table 4.</w:t>
      </w:r>
      <w:r>
        <w:rPr>
          <w:rFonts w:ascii="Times New Roman" w:hAnsi="Times New Roman" w:eastAsia="Times New Roman"/>
          <w:b w:val="0"/>
          <w:sz w:val="20"/>
        </w:rPr>
        <w:t xml:space="preserve">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spacing w:before="60" w:after="160" w:line="276" w:lineRule="auto"/>
        <w:jc w:val="left"/>
      </w:pPr>
      <w:r>
        <w:rPr>
          <w:rFonts w:ascii="Times New Roman" w:hAnsi="Times New Roman" w:eastAsia="Times New Roman"/>
          <w:b/>
          <w:sz w:val="20"/>
        </w:rPr>
        <w:t>Table 5.</w:t>
      </w:r>
      <w:r>
        <w:rPr>
          <w:rFonts w:ascii="Times New Roman" w:hAnsi="Times New Roman" w:eastAsia="Times New Roman"/>
          <w:b w:val="0"/>
          <w:sz w:val="20"/>
        </w:rPr>
        <w:t xml:space="preserve">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8. Public protein-expression context for KCNAB2 and SPP1 and CosMx neighborhood analysis.</w:t>
      </w:r>
      <w:r>
        <w:rPr>
          <w:rFonts w:ascii="Times New Roman" w:hAnsi="Times New Roman" w:eastAsia="Times New Roman"/>
          <w:b w:val="0"/>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sz w:val="28"/>
        </w:rPr>
        <w:t xml:space="preserve">Discussion</w:t>
      </w:r>
    </w:p>
    <w:bookmarkStart w:id="80" w:name="principal-findings"/>
    <w:p>
      <w:pPr>
        <w:pStyle w:val="Heading2"/>
        <w:spacing w:line="276" w:lineRule="auto"/>
      </w:pPr>
      <w:r>
        <w:rPr>
          <w:rFonts w:ascii="Times New Roman" w:hAnsi="Times New Roman" w:eastAsia="Times New Roman"/>
          <w:b/>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i w:val="0"/>
          <w:sz w:val="28"/>
        </w:rPr>
        <w:t>Declarations</w:t>
      </w:r>
    </w:p>
    <w:p>
      <w:pPr>
        <w:pStyle w:val="Heading2"/>
        <w:spacing w:before="160" w:after="120" w:line="276" w:lineRule="auto"/>
      </w:pPr>
      <w:r>
        <w:rPr>
          <w:rFonts w:ascii="Times New Roman" w:hAnsi="Times New Roman" w:eastAsia="Times New Roman"/>
          <w:b/>
          <w:i w:val="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Gene Expression Omnibus datasets: NCBI GEO</w:t>
      </w:r>
      <w:r>
        <w:rPr>
          <w:rFonts w:ascii="Times New Roman" w:hAnsi="Times New Roman" w:eastAsia="Times New Roman"/>
          <w:sz w:val="22"/>
        </w:rPr>
        <w:t xml:space="preserve"> </w:t>
      </w:r>
      <w:r>
        <w:rPr>
          <w:rFonts w:ascii="Times New Roman" w:hAnsi="Times New Roman" w:eastAsia="Times New Roman"/>
          <w:sz w:val="22"/>
        </w:rPr>
        <w:t xml:space="preserve"> </w:t>
      </w:r>
      <w:r>
        <w:rPr>
          <w:rFonts w:ascii="Times New Roman" w:hAnsi="Times New Roman" w:eastAsia="Times New Roman"/>
          <w:sz w:val="22"/>
        </w:rPr>
        <w:t xml:space="preserve">(</w:t>
      </w:r>
      <w:hyperlink r:id="rId90">
        <w:r>
          <w:rPr>
            <w:rStyle w:val="Hyperlink"/>
          </w:rPr>
          <w:t xml:space="preserve">https://www.ncbi.nlm.nih.gov/geo/</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Immunohistochemistry images: Human Protein Atlas</w:t>
      </w:r>
      <w:r>
        <w:rPr>
          <w:rFonts w:ascii="Times New Roman" w:hAnsi="Times New Roman" w:eastAsia="Times New Roman"/>
          <w:sz w:val="22"/>
        </w:rPr>
        <w:t xml:space="preserve"> </w:t>
      </w:r>
      <w:r>
        <w:rPr>
          <w:rFonts w:ascii="Times New Roman" w:hAnsi="Times New Roman" w:eastAsia="Times New Roman"/>
          <w:sz w:val="22"/>
        </w:rPr>
        <w:t xml:space="preserve"> </w:t>
      </w:r>
      <w:r>
        <w:rPr>
          <w:rFonts w:ascii="Times New Roman" w:hAnsi="Times New Roman" w:eastAsia="Times New Roman"/>
          <w:sz w:val="22"/>
        </w:rPr>
        <w:t xml:space="preserve">(</w:t>
      </w:r>
      <w:hyperlink r:id="rId94">
        <w:r>
          <w:rPr>
            <w:rStyle w:val="Hyperlink"/>
          </w:rPr>
          <w:t xml:space="preserve">https://www.proteinatlas.org</w:t>
        </w:r>
      </w:hyperlink>
      <w:r>
        <w:rPr>
          <w:rFonts w:ascii="Times New Roman" w:hAnsi="Times New Roman" w:eastAsia="Times New Roman"/>
          <w:sz w:val="22"/>
        </w:rPr>
        <w:t xml:space="preserve">); figure-specific source and license notes are provided in the source-data manifest.</w:t>
      </w:r>
    </w:p>
    <w:p>
      <w:pPr>
        <w:pStyle w:val="Heading2"/>
        <w:spacing w:before="160" w:after="120" w:line="276" w:lineRule="auto"/>
      </w:pPr>
      <w:r>
        <w:rPr>
          <w:rFonts w:ascii="Times New Roman" w:hAnsi="Times New Roman" w:eastAsia="Times New Roman"/>
          <w:b/>
          <w:i w:val="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spacing w:before="240" w:after="120" w:line="276" w:lineRule="auto"/>
      </w:pPr>
      <w:r>
        <w:rPr>
          <w:rFonts w:ascii="Times New Roman" w:hAnsi="Times New Roman" w:eastAsia="Times New Roman"/>
          <w:b/>
          <w:i w:val="0"/>
          <w:sz w:val="28"/>
        </w:rPr>
        <w:t>References</w:t>
      </w:r>
    </w:p>
    <w:p>
      <w:pPr>
        <w:spacing w:after="60" w:line="276" w:lineRule="auto"/>
        <w:ind w:hanging="255" w:left="255"/>
      </w:pPr>
      <w:r>
        <w:rPr>
          <w:rFonts w:ascii="Times New Roman" w:hAnsi="Times New Roman" w:eastAsia="Times New Roman"/>
          <w:sz w:val="22"/>
        </w:rPr>
        <w:t>1. Sung H., Ferlay J., Siegel R.L., Laversanne M., Soerjomataram I., Jemal A., Bray F. Global cancer statistics 2020: GLOBOCAN estimates of incidence and mortality worldwide for 36 cancers in 185 countries. CA: A Cancer Journal for Clinicians. 2021;71(3):209-249. doi:10.3322/caac.21660</w:t>
      </w:r>
    </w:p>
    <w:p>
      <w:pPr>
        <w:spacing w:after="60" w:line="276" w:lineRule="auto"/>
        <w:ind w:hanging="255" w:left="255"/>
      </w:pPr>
      <w:r>
        <w:rPr>
          <w:rFonts w:ascii="Times New Roman" w:hAnsi="Times New Roman" w:eastAsia="Times New Roman"/>
          <w:sz w:val="22"/>
        </w:rPr>
        <w:t>2. Chen Z., Fillmore C.M., Hammerman P.S., Kim C.F., Wong K.-K. Non-small-cell lung cancers: A heterogeneous set of diseases. Nature Reviews Cancer. 2014;14(8):535-546. doi:10.1038/nrc3775</w:t>
      </w:r>
    </w:p>
    <w:p>
      <w:pPr>
        <w:spacing w:after="60" w:line="276" w:lineRule="auto"/>
        <w:ind w:hanging="255" w:left="255"/>
      </w:pPr>
      <w:r>
        <w:rPr>
          <w:rFonts w:ascii="Times New Roman" w:hAnsi="Times New Roman" w:eastAsia="Times New Roman"/>
          <w:sz w:val="22"/>
        </w:rPr>
        <w:t>3. Reck M., Rodriguez-Abreu D., Robinson A.G., Hui R., Csoszi T., Fulop A., Gottfried M., Peled N., Tafreshi A., Cuffe S., O'Brien M., Rao S., Hotta K., Leiby M.A., Lubiniecki G.M., Shentu Y., Rangwala R., Brahmer J.R. Pembrolizumab versus chemotherapy for PD-L1-positive non-small-cell lung cancer. New England Journal of Medicine. 2016;375(19):1823-1833. doi:10.1056/NEJMoa1606774</w:t>
      </w:r>
    </w:p>
    <w:p>
      <w:pPr>
        <w:spacing w:after="60" w:line="276" w:lineRule="auto"/>
        <w:ind w:hanging="255" w:left="255"/>
      </w:pPr>
      <w:r>
        <w:rPr>
          <w:rFonts w:ascii="Times New Roman" w:hAnsi="Times New Roman" w:eastAsia="Times New Roman"/>
          <w:sz w:val="22"/>
        </w:rPr>
        <w:t>4. Herbst R.S., Giaccone G., De Marinis F., Reinmuth N., Vergnenegre A., Barrios C.H., Morise M., Felip E., Andric Z., Geater S., \"Ozguro glu M., Zou W., Sandler A., Enquist I., Komatsubara K., Deng Y., Kuriki H., Wen X., McCleland M., Mocci S., Jassem J., Spigel D.R. Atezolizumab for first-line treatment of PD-L1-selected patients with NSCLC. New England Journal of Medicine. 2020;383(14):1328-1339. doi:10.1056/NEJMoa1917346</w:t>
      </w:r>
    </w:p>
    <w:p>
      <w:pPr>
        <w:spacing w:after="60" w:line="276" w:lineRule="auto"/>
        <w:ind w:hanging="255" w:left="255"/>
      </w:pPr>
      <w:r>
        <w:rPr>
          <w:rFonts w:ascii="Times New Roman" w:hAnsi="Times New Roman" w:eastAsia="Times New Roman"/>
          <w:sz w:val="22"/>
        </w:rPr>
        <w:t>5. Gandhi L., Rodriguez-Abreu D., Gadgeel S., Esteban E., Felip E., De Angelis F., Domine M., Clingan P., Hochmair M.J., Powell S.F., Cheng S.Y.-S., Bischoff H.G., Peled N., Grossi F., Jennens R.R., Reck M., Hui R., Garon E.B., Boyer M., Rubio-Viqueira B., Novello S., Kurata T., Gray J.E., Vida J., Wei Z., Yang J., Raftopoulos H., Pietanza M.C., Garassino M.C. Pembrolizumab plus chemotherapy in metastatic non-small-cell lung cancer. New England Journal of Medicine. 2018;378(22):2078-2092. doi:10.1056/NEJMoa1801005</w:t>
      </w:r>
    </w:p>
    <w:p>
      <w:pPr>
        <w:spacing w:after="60" w:line="276" w:lineRule="auto"/>
        <w:ind w:hanging="255" w:left="255"/>
      </w:pPr>
      <w:r>
        <w:rPr>
          <w:rFonts w:ascii="Times New Roman" w:hAnsi="Times New Roman" w:eastAsia="Times New Roman"/>
          <w:sz w:val="22"/>
        </w:rPr>
        <w:t>6. Passaro A., Attili I., de Marinis F. Neoadjuvant chemotherapy plus immunotherapy in early-stage resectable non-small-cell lung cancer. Journal of Clinical Oncology: Official Journal of the American Society of Clinical Oncology. 2022;40(25):2871-2877. doi:10.1200/JCO.22.00873</w:t>
      </w:r>
    </w:p>
    <w:p>
      <w:pPr>
        <w:spacing w:after="60" w:line="276" w:lineRule="auto"/>
        <w:ind w:hanging="255" w:left="255"/>
      </w:pPr>
      <w:r>
        <w:rPr>
          <w:rFonts w:ascii="Times New Roman" w:hAnsi="Times New Roman" w:eastAsia="Times New Roman"/>
          <w:sz w:val="22"/>
        </w:rPr>
        <w:t>7. Hellmann M.D., Ciuleanu T.-E., Pluzanski A., Lee J.S., Otterson G.A., Audigier-Valette C., Minenza E., Linardou H., Burgers S., Salman P., Borghaei H., Ramalingam S.S., Brahmer J., Reck M., O'Byrne K.J., Geese W.J., Green G., Chang H., Szustakowski J., Bhagavatheeswaran P., Healey D., Fu Y., Nathan F., Paz-Ares L. Nivolumab plus ipilimumab in lung cancer with a high tumor mutational burden. New England Journal of Medicine. 2018;378(22):2093-2104. doi:10.1056/NEJMoa1801946</w:t>
      </w:r>
    </w:p>
    <w:p>
      <w:pPr>
        <w:spacing w:after="60" w:line="276" w:lineRule="auto"/>
        <w:ind w:hanging="255" w:left="255"/>
      </w:pPr>
      <w:r>
        <w:rPr>
          <w:rFonts w:ascii="Times New Roman" w:hAnsi="Times New Roman" w:eastAsia="Times New Roman"/>
          <w:sz w:val="22"/>
        </w:rPr>
        <w:t>8. Marabelle A., Fakih M., Lopez J., Shah M., Shapira-Frommer R., Nakagawa K., Chung H.C., Kindler H.L., Lopez-Martin J.A., Miller W.H., Italiano A., Kao S., Piha-Paul S.A., Delord J.-P., McWilliams R.R., Fabrizio D.A., Aurora-Garg D., Xu L., Jin F., Norwood K., Bang Y.-J. Association of tumour mutational burden with outcomes in patients with advanced solid tumours treated with pembrolizumab: Prospective biomarker analysis of the multicohort, open-label, phase 2 KEYNOTE-158 study. The Lancet Oncology. 2020;21(10):1353-1365. doi:10.1016/S1470-2045(20)30445-9</w:t>
      </w:r>
    </w:p>
    <w:p>
      <w:pPr>
        <w:spacing w:after="60" w:line="276" w:lineRule="auto"/>
        <w:ind w:hanging="255" w:left="255"/>
      </w:pPr>
      <w:r>
        <w:rPr>
          <w:rFonts w:ascii="Times New Roman" w:hAnsi="Times New Roman" w:eastAsia="Times New Roman"/>
          <w:sz w:val="22"/>
        </w:rPr>
        <w:t>9. Topalian S.L., Taube J.M., Anders R.A., Pardoll D.M. Mechanism-driven biomarkers to guide immune checkpoint blockade in cancer therapy. Nature Reviews Cancer. 2016;16(5):275-287. doi:10.1038/nrc.2016.36</w:t>
      </w:r>
    </w:p>
    <w:p>
      <w:pPr>
        <w:spacing w:after="60" w:line="276" w:lineRule="auto"/>
        <w:ind w:hanging="255" w:left="255"/>
      </w:pPr>
      <w:r>
        <w:rPr>
          <w:rFonts w:ascii="Times New Roman" w:hAnsi="Times New Roman" w:eastAsia="Times New Roman"/>
          <w:sz w:val="22"/>
        </w:rPr>
        <w:t>10. Schoenfeld A.J., Hellmann M.D. Acquired resistance to immune checkpoint inhibitors. Cancer Cell. 2020;37(4):443-455. doi:10.1016/j.ccell.2020.03.017</w:t>
      </w:r>
    </w:p>
    <w:p>
      <w:pPr>
        <w:spacing w:after="60" w:line="276" w:lineRule="auto"/>
        <w:ind w:hanging="255" w:left="255"/>
      </w:pPr>
      <w:r>
        <w:rPr>
          <w:rFonts w:ascii="Times New Roman" w:hAnsi="Times New Roman" w:eastAsia="Times New Roman"/>
          <w:sz w:val="22"/>
        </w:rPr>
        <w:t>11. Vodnala S.K., Eil R., Kishton R.J., Sukumar M., Yamamoto T.N., Ha N.-H., Lee P.-H., Shin M., Patel S.J., Yu Z., Palmer D.C., Kruhlak M.J., Liu X., Locasale J.W., Huang J., Roychoudhuri R., Finkel T., Klebanoff C.A., Restifo N.P. T cell stemness and dysfunction in tumors are triggered by a common mechanism. Science. 2019;363(6434):0135. doi:10.1126/science.aau0135</w:t>
      </w:r>
    </w:p>
    <w:p>
      <w:pPr>
        <w:spacing w:after="60" w:line="276" w:lineRule="auto"/>
        <w:ind w:hanging="255" w:left="255"/>
      </w:pPr>
      <w:r>
        <w:rPr>
          <w:rFonts w:ascii="Times New Roman" w:hAnsi="Times New Roman" w:eastAsia="Times New Roman"/>
          <w:sz w:val="22"/>
        </w:rPr>
        <w:t>12. Vigneron N. Human tumor antigens and cancer immunotherapy. BioMed Research International. 2015;2015:1-17. doi:10.1155/2015/948501</w:t>
      </w:r>
    </w:p>
    <w:p>
      <w:pPr>
        <w:spacing w:after="60" w:line="276" w:lineRule="auto"/>
        <w:ind w:hanging="255" w:left="255"/>
      </w:pPr>
      <w:r>
        <w:rPr>
          <w:rFonts w:ascii="Times New Roman" w:hAnsi="Times New Roman" w:eastAsia="Times New Roman"/>
          <w:sz w:val="22"/>
        </w:rPr>
        <w:t>13. Jerby-Arnon L., Shah P., Cuoco M.S., Rodman C., Su M.-J., Melms J.C., Leeson R., Kanodia A., Mei S., Lin J.-R., Wang S., Rabasha B., Liu D., Zhang G., Margolais C., Ashenberg O., Ott P.A., Buchbinder E.I., Haq R., Hodi F.S., Boland G.M., Sullivan R.J., Frederick D.T., Miao B., Moll T., Flaherty K.T., Herlyn M., Jenkins R.W., Thummalapalli R., Kowalczyk M.S., Canadas I., Schilling B., Cartwright A.N.R., Luoma A.M., Malu S., Hwu P., Bernatchez C., Forget M.-A., Barbie D.A., Shalek A.K., Tirosh I., Sorger P.K., Wucherpfennig K., Van Allen E.M., Schadendorf D., Johnson B.E., Rotem A., Rozenblatt-Rosen O., Garraway L.A., Yoon C.H., Izar B., Regev A. A cancer cell program promotes T cell exclusion and resistance to checkpoint blockade. Cell. 2018;175(4):984-99724. doi:10.1016/j.cell.2018.09.006</w:t>
      </w:r>
    </w:p>
    <w:p>
      <w:pPr>
        <w:spacing w:after="60" w:line="276" w:lineRule="auto"/>
        <w:ind w:hanging="255" w:left="255"/>
      </w:pPr>
      <w:r>
        <w:rPr>
          <w:rFonts w:ascii="Times New Roman" w:hAnsi="Times New Roman" w:eastAsia="Times New Roman"/>
          <w:sz w:val="22"/>
        </w:rPr>
        <w:t>14. Sthl P.L., Salm\'en F., Vickovic S., Lundmark A., Navarro J.F., Magnusson J., Giacomello S., Asp M., Westholm J.O., Huss M., Mollbrink A., Linnarsson S., Codeluppi S., Borg., Pont\'en F., Costea P.I., Sahl\'en P., Mulder J., Bergmann O., Lundeberg J., Fris\'en J. Visualization and analysis of gene expression in tissue sections by spatial transcriptomics. Science. 2016;353(6294):78-82. doi:10.1126/science.aaf2403</w:t>
      </w:r>
    </w:p>
    <w:p>
      <w:pPr>
        <w:spacing w:after="60" w:line="276" w:lineRule="auto"/>
        <w:ind w:hanging="255" w:left="255"/>
      </w:pPr>
      <w:r>
        <w:rPr>
          <w:rFonts w:ascii="Times New Roman" w:hAnsi="Times New Roman" w:eastAsia="Times New Roman"/>
          <w:sz w:val="22"/>
        </w:rPr>
        <w:t>15. Marx V. Method of the year: Spatially resolved transcriptomics. Nature Methods. 2021;18(1):9-14. doi:10.1038/s41592-020-01033-y</w:t>
      </w:r>
    </w:p>
    <w:p>
      <w:pPr>
        <w:spacing w:after="60" w:line="276" w:lineRule="auto"/>
        <w:ind w:hanging="255" w:left="255"/>
      </w:pPr>
      <w:r>
        <w:rPr>
          <w:rFonts w:ascii="Times New Roman" w:hAnsi="Times New Roman" w:eastAsia="Times New Roman"/>
          <w:sz w:val="22"/>
        </w:rPr>
        <w:t>16. Zilionis R., Engblom C., Pfirschke C., Savova V., Zemmour D., Saatcioglu H.D., Krishnan I., Maroni G., Meyerovitz C.V., Kerwin C.M., Choi S., Richards W.G., De Rienzo A., Tenen D.G., Bueno R., Levantini E., Pittet M.J., Klein A.M. Single-cell transcriptomics of human and mouse lung cancers reveals conserved myeloid populations across individuals and species. Immunity. 2019;50(5):1317-133410. doi:10.1016/j.immuni.2019.03.009</w:t>
      </w:r>
    </w:p>
    <w:p>
      <w:pPr>
        <w:spacing w:after="60" w:line="276" w:lineRule="auto"/>
        <w:ind w:hanging="255" w:left="255"/>
      </w:pPr>
      <w:r>
        <w:rPr>
          <w:rFonts w:ascii="Times New Roman" w:hAnsi="Times New Roman" w:eastAsia="Times New Roman"/>
          <w:sz w:val="22"/>
        </w:rPr>
        <w:t>17. Laumont C.M., Nelson B.H. B cells in the tumor microenvironment: Multi-faceted organizers, regulators, and effectors of anti-tumor immunity. Cancer Cell. 2023;41(3):466-489. doi:10.1016/j.ccell.2023.02.017</w:t>
      </w:r>
    </w:p>
    <w:p>
      <w:pPr>
        <w:spacing w:after="60" w:line="276" w:lineRule="auto"/>
        <w:ind w:hanging="255" w:left="255"/>
      </w:pPr>
      <w:r>
        <w:rPr>
          <w:rFonts w:ascii="Times New Roman" w:hAnsi="Times New Roman" w:eastAsia="Times New Roman"/>
          <w:sz w:val="22"/>
        </w:rPr>
        <w:t>18. Janesick A., Shelansky R., Gottscho A.D., Wagner F., Williams S.R., Rouault M., Beliakoff G., Morrison C.A., Oliveira M.F., Sicherman J.T., Kohlway A., Abousoud J., Drennon T.Y., Mohabbat S.H., 10x Development Teams, Taylor S.E.B. High resolution mapping of the tumor microenvironment using integrated single-cell, spatial and in situ analysis. Nature Communications. 2023;14(1):8353. doi:10.1038/s41467-023-43458-x</w:t>
      </w:r>
    </w:p>
    <w:p>
      <w:pPr>
        <w:spacing w:after="60" w:line="276" w:lineRule="auto"/>
        <w:ind w:hanging="255" w:left="255"/>
      </w:pPr>
      <w:r>
        <w:rPr>
          <w:rFonts w:ascii="Times New Roman" w:hAnsi="Times New Roman" w:eastAsia="Times New Roman"/>
          <w:sz w:val="22"/>
        </w:rPr>
        <w:t>19. He K., Zhang X., Ren S., Sun J. Deep residual learning for image recognition. 2016 IEEE Conference on Computer Vision and Pattern Recognition (CVPR). 2016:770-778. doi:10.1109/CVPR.2016.90</w:t>
      </w:r>
    </w:p>
    <w:p>
      <w:pPr>
        <w:spacing w:after="60" w:line="276" w:lineRule="auto"/>
        <w:ind w:hanging="255" w:left="255"/>
      </w:pPr>
      <w:r>
        <w:rPr>
          <w:rFonts w:ascii="Times New Roman" w:hAnsi="Times New Roman" w:eastAsia="Times New Roman"/>
          <w:sz w:val="22"/>
        </w:rPr>
        <w:t>20. Campanella G., Hanna M.G., Geneslaw L., Miraflor A., Werneck Krauss Silva V., Busam K.J., Brogi E., Reuter V.E., Klimstra D.S., Fuchs T.J. Clinical-grade computational pathology using weakly supervised deep learning on whole slide images. Nature Medicine. 2019;25(8):1301-1309. doi:10.1038/s41591-019-0508-1</w:t>
      </w:r>
    </w:p>
    <w:p>
      <w:pPr>
        <w:spacing w:after="60" w:line="276" w:lineRule="auto"/>
        <w:ind w:hanging="255" w:left="255"/>
      </w:pPr>
      <w:r>
        <w:rPr>
          <w:rFonts w:ascii="Times New Roman" w:hAnsi="Times New Roman" w:eastAsia="Times New Roman"/>
          <w:sz w:val="22"/>
        </w:rPr>
        <w:t>21. Valanarasu J.M.J., Xu H., Usuyama N., Kim C., Wong C., Argaw P., Ben Shimol R., Crabtree A., Matlock K., Bartlett A.Q., Bagga J., Gu Y., Zhang S., Naumann T., Fox B.A., Wright B., Robicsek A., Piening B., Bifulco C., Wang S., Poon H. doi:10.1016/j.cell.2025.11.016</w:t>
      </w:r>
    </w:p>
    <w:p>
      <w:pPr>
        <w:spacing w:after="60" w:line="276" w:lineRule="auto"/>
        <w:ind w:hanging="255" w:left="255"/>
      </w:pPr>
      <w:r>
        <w:rPr>
          <w:rFonts w:ascii="Times New Roman" w:hAnsi="Times New Roman" w:eastAsia="Times New Roman"/>
          <w:sz w:val="22"/>
        </w:rPr>
        <w:t>22. Wu Y., Yang S., Ma J., Chen Z., Song G., Rao D., Cheng Y., Huang S., Liu Y., Jiang S., Liu J., Huang X., Wang X., Qiu S., Xu J., Xi R., Bai F., Zhou J., Fan J., Zhang X., Gao Q. Spatiotemporal immune landscape of colorectal cancer liver metastasis at single-cell level. Cancer Discovery. 2022;12(1):134-153. doi:10.1158/2159-8290.CD-21-0316</w:t>
      </w:r>
    </w:p>
    <w:p>
      <w:pPr>
        <w:spacing w:after="60" w:line="276" w:lineRule="auto"/>
        <w:ind w:hanging="255" w:left="255"/>
      </w:pPr>
      <w:r>
        <w:rPr>
          <w:rFonts w:ascii="Times New Roman" w:hAnsi="Times New Roman" w:eastAsia="Times New Roman"/>
          <w:sz w:val="22"/>
        </w:rPr>
        <w:t>23. Chen R.J., Lu M.Y., Williamson D.F.K., Chen T.Y., Lipkova J., Noor Z., Shaban M., Shady M., Williams M., Joo B., Mahmood F. Pan-cancer integrative histology-genomic analysis via multimodal deep learning. Cancer Cell. 2022;40(8):865-8786. doi:10.1016/j.ccell.2022.07.004</w:t>
      </w:r>
    </w:p>
    <w:p>
      <w:pPr>
        <w:spacing w:after="60" w:line="276" w:lineRule="auto"/>
        <w:ind w:hanging="255" w:left="255"/>
      </w:pPr>
      <w:r>
        <w:rPr>
          <w:rFonts w:ascii="Times New Roman" w:hAnsi="Times New Roman" w:eastAsia="Times New Roman"/>
          <w:sz w:val="22"/>
        </w:rPr>
        <w:t>24.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2018;48(4):812-83014. doi:10.1016/j.immuni.2018.03.023</w:t>
      </w:r>
    </w:p>
    <w:p>
      <w:pPr>
        <w:spacing w:after="60" w:line="276" w:lineRule="auto"/>
        <w:ind w:hanging="255" w:left="255"/>
      </w:pPr>
      <w:r>
        <w:rPr>
          <w:rFonts w:ascii="Times New Roman" w:hAnsi="Times New Roman" w:eastAsia="Times New Roman"/>
          <w:sz w:val="22"/>
        </w:rPr>
        <w:t>25. Subramanian I., Verma S., Kumar S., Jere A., Anamika K. Multi-omics data integration, interpretation, and its application. Bioinformatics and Biology Insights. 2020;14:117793221989905. doi:10.1177/1177932219899051</w:t>
      </w:r>
    </w:p>
    <w:p>
      <w:pPr>
        <w:spacing w:after="60" w:line="276" w:lineRule="auto"/>
        <w:ind w:hanging="255" w:left="255"/>
      </w:pPr>
      <w:r>
        <w:rPr>
          <w:rFonts w:ascii="Times New Roman" w:hAnsi="Times New Roman" w:eastAsia="Times New Roman"/>
          <w:sz w:val="22"/>
        </w:rPr>
        <w:t>26. Chaudhary K., Poirion O.B., Lu L., Garmire L.X. Deep learning-based multi-omics integration robustly predicts survival in liver cancer. Clinical Cancer Research. 2018;24(6):1248-1259. doi:10.1158/1078-0432.CCR-17-0853</w:t>
      </w:r>
    </w:p>
    <w:p>
      <w:pPr>
        <w:spacing w:after="60" w:line="276" w:lineRule="auto"/>
        <w:ind w:hanging="255" w:left="255"/>
      </w:pPr>
      <w:r>
        <w:rPr>
          <w:rFonts w:ascii="Times New Roman" w:hAnsi="Times New Roman" w:eastAsia="Times New Roman"/>
          <w:sz w:val="22"/>
        </w:rPr>
        <w:t>27. Sammut S.-J., Crispin-Ortuzar M., Chin S.-F., Provenzano E., Bardwell H.A., Ma W., Cope W., Dariush A., Dawson S.-J., Abraham J.E., Dunn J., Hiller L., Thomas J., Cameron D.A., Bartlett J.M.S., Hayward L., Pharoah P.D., Markowetz F., Rueda O.M., Earl H.M., Caldas C. Multi-omic machine learning predictor of breast cancer therapy response. Nature. 2022;601(7894):623-629. doi:10.1038/s41586-021-04278-5</w:t>
      </w:r>
    </w:p>
    <w:p>
      <w:pPr>
        <w:spacing w:after="60" w:line="276" w:lineRule="auto"/>
        <w:ind w:hanging="255" w:left="255"/>
      </w:pPr>
      <w:r>
        <w:rPr>
          <w:rFonts w:ascii="Times New Roman" w:hAnsi="Times New Roman" w:eastAsia="Times New Roman"/>
          <w:sz w:val="22"/>
        </w:rPr>
        <w:t>28. Hoadley K.A., Yau C., Hinoue T., Wolf D.M., Lazar A.J., Drill E., Shen R., Taylor A.M., Cherniack A.D., Thorsson V., Akbani R., Bowlby R., Wong C.K., Wiznerowicz M., Sanchez-Vega F., Robertson A.G., Schneider B.G., Lawrence M.S., Noushmehr H., Malta T.M.,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O.,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J.,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Stuart J.M., Benz C.C., Laird P.W. Cell-of-origin patterns dominate the molecular classification of 10,000 tumors from 33 types of cancer. Cell. 2018;173(2):291-3046. doi:10.1016/j.cell.2018.03.022</w:t>
      </w:r>
    </w:p>
    <w:p>
      <w:pPr>
        <w:spacing w:after="60" w:line="276" w:lineRule="auto"/>
        <w:ind w:hanging="255" w:left="255"/>
      </w:pPr>
      <w:r>
        <w:rPr>
          <w:rFonts w:ascii="Times New Roman" w:hAnsi="Times New Roman" w:eastAsia="Times New Roman"/>
          <w:sz w:val="22"/>
        </w:rPr>
        <w:t>29. The Cancer Genome Atlas Research Network. Comprehensive molecular profiling of lung adenocarcinoma. Nature. 2014;511(7511):543-550. doi:10.1038/nature13385</w:t>
      </w:r>
    </w:p>
    <w:p>
      <w:pPr>
        <w:spacing w:after="60" w:line="276" w:lineRule="auto"/>
        <w:ind w:hanging="255" w:left="255"/>
      </w:pPr>
      <w:r>
        <w:rPr>
          <w:rFonts w:ascii="Times New Roman" w:hAnsi="Times New Roman" w:eastAsia="Times New Roman"/>
          <w:sz w:val="22"/>
        </w:rPr>
        <w:t>30. The Cancer Genome Atlas Research Network. Comprehensive genomic characterization of squamous cell lung cancers. Nature. 2012;489(7417):519-525. doi:10.1038/nature11404</w:t>
      </w:r>
    </w:p>
    <w:p>
      <w:pPr>
        <w:spacing w:after="60" w:line="276" w:lineRule="auto"/>
        <w:ind w:hanging="255" w:left="255"/>
      </w:pPr>
      <w:r>
        <w:rPr>
          <w:rFonts w:ascii="Times New Roman" w:hAnsi="Times New Roman" w:eastAsia="Times New Roman"/>
          <w:sz w:val="22"/>
        </w:rPr>
        <w:t>31.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2018;48(4):812-83014. doi:10.1016/j.immuni.2018.03.023</w:t>
      </w:r>
    </w:p>
    <w:p>
      <w:pPr>
        <w:spacing w:after="60" w:line="276" w:lineRule="auto"/>
        <w:ind w:hanging="255" w:left="255"/>
      </w:pPr>
      <w:r>
        <w:rPr>
          <w:rFonts w:ascii="Times New Roman" w:hAnsi="Times New Roman" w:eastAsia="Times New Roman"/>
          <w:sz w:val="22"/>
        </w:rPr>
        <w:t>32. Zhang L., Li Z., Skrzypczynska K.M., Fang Q., Zhang W., O'Brien S.A., He Y., Wang L., Zhang Q., Kim A., Gao R., Orf J., Wang T., Sawant D., Kang J., Bhatt D., Lu D., Li C.-M., Rapaport A.S., Perez K., Ye Y., Wang S., Hu X., Ren X., Ouyang W., Shen Z., Egen J.G., Zhang Z., Yu X. Single-cell analyses inform mechanisms of myeloid-targeted therapies in colon cancer. Cell. 2020;181(2):442-45929. doi:10.1016/j.cell.2020.03.048</w:t>
      </w:r>
    </w:p>
    <w:p>
      <w:pPr>
        <w:spacing w:after="60" w:line="276" w:lineRule="auto"/>
        <w:ind w:hanging="255" w:left="255"/>
      </w:pPr>
      <w:r>
        <w:rPr>
          <w:rFonts w:ascii="Times New Roman" w:hAnsi="Times New Roman" w:eastAsia="Times New Roman"/>
          <w:sz w:val="22"/>
        </w:rPr>
        <w:t>33. Davey Smith G., Ebrahim S. `mendelian randomization': Can genetic epidemiology contribute to understanding environmental determinants of disease?*. International Journal of Epidemiology. 2003;32(1):1-22. doi:10.1093/ije/dyg070</w:t>
      </w:r>
    </w:p>
    <w:p>
      <w:pPr>
        <w:spacing w:after="60" w:line="276" w:lineRule="auto"/>
        <w:ind w:hanging="255" w:left="255"/>
      </w:pPr>
      <w:r>
        <w:rPr>
          <w:rFonts w:ascii="Times New Roman" w:hAnsi="Times New Roman" w:eastAsia="Times New Roman"/>
          <w:sz w:val="22"/>
        </w:rPr>
        <w:t>34. Hagberg A., Swart P., Chult D. Exploring network structure, dynamics, and function using NetworkX. Proceedings of the 7th Python in Science Conference. 2008. doi:10.25080/TCWV9851</w:t>
      </w:r>
    </w:p>
    <w:p>
      <w:pPr>
        <w:spacing w:after="60" w:line="276" w:lineRule="auto"/>
        <w:ind w:hanging="255" w:left="255"/>
      </w:pPr>
      <w:r>
        <w:rPr>
          <w:rFonts w:ascii="Times New Roman" w:hAnsi="Times New Roman" w:eastAsia="Times New Roman"/>
          <w:sz w:val="22"/>
        </w:rPr>
        <w:t>35. V\ osa U., Claringbould A., Westra H.-J., Bonder M.J., Deelen P., Zeng B., Kirsten H., Saha A., Kreuzhuber R., Yazar S., Brugge H., Oelen R., De Vries D.H., Van Der Wijst M.G.P., Kasela S., Pervjakova N., Alves I., Fav\'e M.-J., Agbessi M., Christiansen M.W., Jansen R., Seppala I., Tong L., Teumer A., Schramm K., Hemani G., Verlouw J., Yaghootkar H., Sonmez Flitman R., Brown A., Kukushkina V., Kalnapenkis A., Rueger S., Porcu E., Kronberg J., Kettunen J., Lee B., Zhang F., Qi T., Hernandez J.A., Arindrarto W., Beutner F., BIOS Consortium, 'T Hoen P.A.C., Van Meurs J., Van Dongen J., Van Iterson M., Swertz M.A., i2QTL Consortium, Jan Bonder M., Dmitrieva J., Elansary M., Fairfax B.P., Georges M., Heijmans B.T., Hewitt A.W., Kahonen M., Kim Y., Knight J.C., Kovacs P., Krohn K., Li S., Loeffler M., Marigorta U.M., Mei H., Momozawa Y., Muller-Nurasyid M., Nauck M., Nivard M.G., Penninx B.W.J.H., Pritchard J.K., Raitakari O.T., Rotzschke O., Slagboom E.P., Stehouwer C.D.A., Stumvoll M., Sullivan P., 'T Hoen P.A.C., Thiery J., Tonjes A., Van Dongen J., Van Iterson M., Veldink J.H., Volker U., Warmerdam R., Wijmenga C., Swertz M., Andiappan A., Montgomery G.W., Ripatti S., Perola M., Kutalik Z., Dermitzakis E., Bergmann S., Frayling T., Van Meurs J., Prokisch H., Ahsan H., Pierce B.L., Lehtimaki T., Boomsma D.I., Psaty B.M., Gharib S.A., Awadalla P., Milani L., Ouwehand W.H., Downes K., Stegle O., Battle A., Visscher P.M., Yang J., Scholz M., Powell J., Gibson G., Esko T., Franke L. Large-scale cis- and trans-eQTL analyses identify thousands of genetic loci and polygenic scores that regulate blood gene expression. Nature Genetics. 2021;53(9):1300-1310. doi:10.1038/s41588-021-00913-z</w:t>
      </w:r>
    </w:p>
    <w:p>
      <w:pPr>
        <w:spacing w:after="60" w:line="276" w:lineRule="auto"/>
        <w:ind w:hanging="255" w:left="255"/>
      </w:pPr>
      <w:r>
        <w:rPr>
          <w:rFonts w:ascii="Times New Roman" w:hAnsi="Times New Roman" w:eastAsia="Times New Roman"/>
          <w:sz w:val="22"/>
        </w:rPr>
        <w:t>36. Zhu Z., Zhang F., Hu H., Bakshi A., Robinson M.R., Powell J.E., Montgomery G.W., Goddard M.E., Wray N.R., Visscher P.M., Yang J. Integration of summary data from GWAS and eQTL studies predicts complex trait gene targets. Nature Genetics. 2016;48(5):481-487. doi:10.1038/ng.3538</w:t>
      </w:r>
    </w:p>
    <w:p>
      <w:pPr>
        <w:spacing w:after="60" w:line="276" w:lineRule="auto"/>
        <w:ind w:hanging="255" w:left="255"/>
      </w:pPr>
      <w:r>
        <w:rPr>
          <w:rFonts w:ascii="Times New Roman" w:hAnsi="Times New Roman" w:eastAsia="Times New Roman"/>
          <w:sz w:val="22"/>
        </w:rPr>
        <w:t>37. McKinney W. Data structures for statistical computing in python. SciPy 2010. 2010. doi:10.25080/Majora-92bf1922-00a</w:t>
      </w:r>
    </w:p>
    <w:p>
      <w:pPr>
        <w:spacing w:after="60" w:line="276" w:lineRule="auto"/>
        <w:ind w:hanging="255" w:left="255"/>
      </w:pPr>
      <w:r>
        <w:rPr>
          <w:rFonts w:ascii="Times New Roman" w:hAnsi="Times New Roman" w:eastAsia="Times New Roman"/>
          <w:sz w:val="22"/>
        </w:rPr>
        <w:t>38. Harris C.R., Millman K.J., van der Walt S.J., Gommers R., Virtanen P., Cournapeau D., Wieser E., Taylor J., Berg S., Smith N.J., Kern R., Picus M., Hoyer S., van Kerkwijk M.H., Brett M., Haldane A., del Rio J.F., Wiebe M., Peterson P., G\'erard-Marchant P., Sheppard K., Reddy T., Weckesser W., Abbasi H., Gohlke C., Oliphant T.E. Array programming with NumPy. Nature. 2020;585(7825):357-362. doi:10.1038/s41586-020-2649-2</w:t>
      </w:r>
    </w:p>
    <w:p>
      <w:pPr>
        <w:spacing w:after="60" w:line="276" w:lineRule="auto"/>
        <w:ind w:hanging="255" w:left="255"/>
      </w:pPr>
      <w:r>
        <w:rPr>
          <w:rFonts w:ascii="Times New Roman" w:hAnsi="Times New Roman" w:eastAsia="Times New Roman"/>
          <w:sz w:val="22"/>
        </w:rPr>
        <w:t>39. Virtanen P., Gommers R., Oliphant T.E., Haberland M., Reddy T., Cournapeau D., Burovski E., Peterson P., Weckesser W., Bright J., Van Der Walt S.J., Brett M., Wilson J., Millman K.J., Mayorov N., Nelson A.R.J., Jones E., Kern R., Larson E., Carey C.J., Polat \.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Haggstrom C., Fitzgerald C., Nicholson D.A., Hagen D.R., Pasechnik D.V., Olivetti E., Martin E., Wieser E., Silva F., Lenders F., Wilhelm F., Young G., Price G.A., Ingold G.-L., Allen G.E., Lee G.R., Audren H., Probst I., Dietrich J.P., Silterra J., Webber J.T., Slavi c J., Nothman J., Buchner J., Kulick J., Schonberger J.L., De Miranda Cardoso J.V., Reimer J., Harrington J., Rodriguez J.L.C., Nunez-Iglesias J., Kuczynski J., Tritz K., Thoma M., Newville M., Kummerer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V\'azquez-Baeza Y. SciPy 1.0: Fundamental algorithms for scientific computing in python. Nature Methods. 2020;17(3):261-272. doi:10.1038/s41592-019-0686-2</w:t>
      </w:r>
    </w:p>
    <w:p>
      <w:pPr>
        <w:spacing w:after="60" w:line="276" w:lineRule="auto"/>
        <w:ind w:hanging="255" w:left="255"/>
      </w:pPr>
      <w:r>
        <w:rPr>
          <w:rFonts w:ascii="Times New Roman" w:hAnsi="Times New Roman" w:eastAsia="Times New Roman"/>
          <w:sz w:val="22"/>
        </w:rPr>
        <w:t>40. Hunter J.D. Matplotlib: A 2D graphics environment. Computing in Science \&amp; Engineering. 2007;9(3):90-95. doi:10.1109/MCSE.2007.55</w:t>
      </w:r>
    </w:p>
    <w:p>
      <w:pPr>
        <w:spacing w:after="60" w:line="276" w:lineRule="auto"/>
        <w:ind w:hanging="255" w:left="255"/>
      </w:pPr>
      <w:r>
        <w:rPr>
          <w:rFonts w:ascii="Times New Roman" w:hAnsi="Times New Roman" w:eastAsia="Times New Roman"/>
          <w:sz w:val="22"/>
        </w:rPr>
        <w:t>41. Waskom M. Seaborn: Statistical data visualization. Journal of Open Source Software. 2021;6(60):3021. doi:10.21105/joss.03021</w:t>
      </w:r>
    </w:p>
    <w:p>
      <w:pPr>
        <w:spacing w:after="60" w:line="276" w:lineRule="auto"/>
        <w:ind w:hanging="255" w:left="255"/>
      </w:pPr>
      <w:r>
        <w:rPr>
          <w:rFonts w:ascii="Times New Roman" w:hAnsi="Times New Roman" w:eastAsia="Times New Roman"/>
          <w:sz w:val="22"/>
        </w:rPr>
        <w:t>42. Pedregosa F., Varoquaux G., Gramfort A., Michel V., Thirion B., Grisel O., Blondel M., Prettenhofer P., Weiss R., Dubourg V., Vanderplas J., Passos A., Cournapeau D., Brucher M., Perrot M., Duchesnay \'E. Scikit-learn: Machine learning in python. J. Mach. Learn. Res. 2011;12(null):2825-2830.</w:t>
      </w:r>
    </w:p>
    <w:p>
      <w:pPr>
        <w:spacing w:after="60" w:line="276" w:lineRule="auto"/>
        <w:ind w:hanging="255" w:left="255"/>
      </w:pPr>
      <w:r>
        <w:rPr>
          <w:rFonts w:ascii="Times New Roman" w:hAnsi="Times New Roman" w:eastAsia="Times New Roman"/>
          <w:sz w:val="22"/>
        </w:rPr>
        <w:t>43. Tang Z., Kang B., Li C., Chen T., Zhang Z. GEPIA2: An enhanced web server for large-scale expression profiling and interactive analysis. Nucleic Acids Research. 2019;47(W1):556-560. doi:10.1093/nar/gkz430</w:t>
      </w:r>
    </w:p>
    <w:p>
      <w:pPr>
        <w:spacing w:after="60" w:line="276" w:lineRule="auto"/>
        <w:ind w:hanging="255" w:left="255"/>
      </w:pPr>
      <w:r>
        <w:rPr>
          <w:rFonts w:ascii="Times New Roman" w:hAnsi="Times New Roman" w:eastAsia="Times New Roman"/>
          <w:sz w:val="22"/>
        </w:rPr>
        <w:t>44. Hemani G., Zheng J., Elsworth B., Wade K.H., Haberland V., Baird D., Laurin C., Burgess S., Bowden J., Langdon R., Tan V.Y., Yarmolinsky J., Shihab H.A., Timpson N.J., Evans D.M., Relton C., Martin R.M., Davey Smith G., Gaunt T.R., Haycock P.C. The MR-base platform supports systematic causal inference across the human phenome. eLife. 2018;7:34408. doi:10.7554/eLife.34408</w:t>
      </w:r>
    </w:p>
    <w:p>
      <w:pPr>
        <w:spacing w:after="60" w:line="276" w:lineRule="auto"/>
        <w:ind w:hanging="255" w:left="255"/>
      </w:pPr>
      <w:r>
        <w:rPr>
          <w:rFonts w:ascii="Times New Roman" w:hAnsi="Times New Roman" w:eastAsia="Times New Roman"/>
          <w:sz w:val="22"/>
        </w:rPr>
        <w:t>45. Pan L., Luo J., Nie C., Fan S., Wang X., Peng S., Liang Q. A deep learning framework integrating tumor microenvironmental features accurately predicts multiple driver gene mutations in lung cancer pathology images. Cancer Research. 2025. doi:10.1158/0008-5472.CAN-25-0582</w:t>
      </w:r>
    </w:p>
    <w:p>
      <w:pPr>
        <w:spacing w:after="60" w:line="276" w:lineRule="auto"/>
        <w:ind w:hanging="255" w:left="255"/>
      </w:pPr>
      <w:r>
        <w:rPr>
          <w:rFonts w:ascii="Times New Roman" w:hAnsi="Times New Roman" w:eastAsia="Times New Roman"/>
          <w:sz w:val="22"/>
        </w:rPr>
        <w:t>46. Xu H., Wang S., Fang M., Luo S., Chen C., Wan S., Wang R., Tang M., Xue T., Li B., Lin J., Qu K. SPACEL: Deep learning-based characterization of spatial transcriptome architectures. Nature Communications. 2023;14(1):7603. doi:10.1038/s41467-023-43220-3</w:t>
      </w:r>
    </w:p>
    <w:p>
      <w:pPr>
        <w:spacing w:after="60" w:line="276" w:lineRule="auto"/>
        <w:ind w:hanging="255" w:left="255"/>
      </w:pPr>
      <w:r>
        <w:rPr>
          <w:rFonts w:ascii="Times New Roman" w:hAnsi="Times New Roman" w:eastAsia="Times New Roman"/>
          <w:sz w:val="22"/>
        </w:rPr>
        <w:t>47. Ravi V.M., Will P., Kueckelhaus J., Sun N., Joseph K., Sali\'e H., Vollmer L., Kuliesiute U., von Ehr J., Benotmane J.K., Neidert N., Follo M., Scherer F., Goeldner J.M., Behringer S.P., Franco P., Khiat M., Zhang J., Hofmann U.G., Fung C., Ricklefs F.L., Lamszus K., Boerries M., Ku M., Beck J., Sankowski R., Schwabenland M., Prinz M., Schuller U., Killmer S., Bengsch B., Walch A.K., Delev D., Schnell O., Heiland D.H. Spatially resolved multi-omics deciphers bidirectional tumor-host interdependence in glioblastoma. Cancer Cell. 2022;40(6):639-65513. doi:10.1016/j.ccell.2022.05.009</w:t>
      </w:r>
    </w:p>
    <w:p>
      <w:pPr>
        <w:spacing w:after="60" w:line="276" w:lineRule="auto"/>
        <w:ind w:hanging="255" w:left="255"/>
      </w:pPr>
      <w:r>
        <w:rPr>
          <w:rFonts w:ascii="Times New Roman" w:hAnsi="Times New Roman" w:eastAsia="Times New Roman"/>
          <w:sz w:val="22"/>
        </w:rPr>
        <w:t>48. Li Q., Zhang X., Ke R. doi:10.3389/fgene.2022.906158</w:t>
      </w:r>
    </w:p>
    <w:p>
      <w:pPr>
        <w:spacing w:after="60" w:line="276" w:lineRule="auto"/>
        <w:ind w:hanging="255" w:left="255"/>
      </w:pPr>
      <w:r>
        <w:rPr>
          <w:rFonts w:ascii="Times New Roman" w:hAnsi="Times New Roman" w:eastAsia="Times New Roman"/>
          <w:sz w:val="22"/>
        </w:rPr>
        <w:t>49. Petitprez F., De Reyni\`es A., Keung E.Z., Chen T.W.-W., Sun C.-M., Calderaro J., Jeng Y.-M., Hsiao L.-P., Lacroix L., Bougouin A., Moreira M., Lacroix G., Natario I., Adam J., Lucchesi C., Laizet Y., Toulmonde M., Burgess M.A., Bolejack V., Reinke D., Wani K.M., Wang W.-L., Lazar A.J., Roland C.L., Wargo J.A., Italiano A., Saut\`es-Fridman C., Tawbi H.A., Fridman W.H. B cells are associated with survival and immunotherapy response in sarcoma. Nature. 2020;577(7791):556-560. doi:10.1038/s41586-019-1906-8</w:t>
      </w:r>
    </w:p>
    <w:p>
      <w:pPr>
        <w:spacing w:after="60" w:line="276" w:lineRule="auto"/>
        <w:ind w:hanging="255" w:left="255"/>
      </w:pPr>
      <w:r>
        <w:rPr>
          <w:rFonts w:ascii="Times New Roman" w:hAnsi="Times New Roman" w:eastAsia="Times New Roman"/>
          <w:sz w:val="22"/>
        </w:rPr>
        <w:t>50. Helmink B.A., Reddy S.M., Gao J., Zhang S., Basar R., Thakur R., Yizhak K., Sade-Feldman M., Blando J., Han G., Gopalakrishnan V., Xi Y., Zhao H., Amaria R.N., Tawbi H.A., Cogdill A.P., Liu W., LeBleu V.S., Kugeratski F.G., Patel S., Davies M.A., Hwu P., Lee J.E., Gershenwald J.E., Lucci A., Arora R., Woodman S., Keung E.Z., Gaudreau P.-O., Reuben A., Spencer C.N., Burton E.M., Haydu L.E., Lazar A.J., Zapassodi R., Hudgens C.W., Ledesma D.A., Ong S., Bailey M., Warren S., Rao D., Krijgsman O., Rozeman E.A., Peeper D., Blank C.U., Schumacher T.N., Butterfield L.H., Zelazowska M.A., McBride K.M., Kalluri R., Allison J., Petitprez F., Fridman W.H., Saut\`es-Fridman C., Hacohen N., Rezvani K., Sharma P., Tetzlaff M.T., Wang L., Wargo J.A. B cells and tertiary lymphoid structures promote immunotherapy response. Nature. 2020;577(7791):549-555. doi:10.1038/s41586-019-1922-8</w:t>
      </w:r>
    </w:p>
    <w:p>
      <w:pPr>
        <w:spacing w:after="60" w:line="276" w:lineRule="auto"/>
        <w:ind w:hanging="255" w:left="255"/>
      </w:pPr>
      <w:r>
        <w:rPr>
          <w:rFonts w:ascii="Times New Roman" w:hAnsi="Times New Roman" w:eastAsia="Times New Roman"/>
          <w:sz w:val="22"/>
        </w:rPr>
        <w:t>51. Rakaee M., Tafavvoghi M., Ricciuti B., Alessi J.V., Cortellini A., Citarella F., Nibid L., Perrone G., Adib E., Fulgenzi C.A.M., Hidalgo Filho C.M., Di Federico A., Jabar F., Hashemi S., Houda I., Richardsen E., Rasmussen Busund L.-T., Donnem T., Bahce I., Pinato D.J., Helland., Sholl L.M., Awad M.M., Kwiatkowski D.J. Deep learning model for predicting immunotherapy response in advanced non-small cell lung cancer. JAMA oncology. 2025;11(2):109-118. doi:10.1001/jamaoncol.2024.5356</w:t>
      </w:r>
    </w:p>
    <w:p>
      <w:pPr>
        <w:spacing w:after="60" w:line="276" w:lineRule="auto"/>
        <w:ind w:hanging="255" w:left="255"/>
      </w:pPr>
      <w:r>
        <w:rPr>
          <w:rFonts w:ascii="Times New Roman" w:hAnsi="Times New Roman" w:eastAsia="Times New Roman"/>
          <w:sz w:val="22"/>
        </w:rPr>
        <w:t>52. Barrett T., Wilhite S.E., Ledoux P., Evangelista C., Kim I.F., Tomashevsky M., Marshall K.A., Phillippy K.H., Sherman P.M., Holko M., Yefanov A., Lee H., Zhang N., Robertson C.L., Serova N., Davis S., Soboleva A. NCBI GEO: Archive for functional genomics data sets-update. Nucleic Acids Research. 2012;41(D1):991-995. doi:10.1093/nar/gks1193</w:t>
      </w:r>
    </w:p>
    <w:p>
      <w:pPr>
        <w:spacing w:after="60" w:line="276" w:lineRule="auto"/>
        <w:ind w:hanging="255" w:left="255"/>
      </w:pPr>
      <w:r>
        <w:rPr>
          <w:rFonts w:ascii="Times New Roman" w:hAnsi="Times New Roman" w:eastAsia="Times New Roman"/>
          <w:sz w:val="22"/>
        </w:rPr>
        <w:t>53. Uhlen M., Zhang C., Lee S., Sjostedt E., Fagerberg L., Bidkhori G., Benfeitas R., Arif M., Liu Z., Edfors F., Sanli K., Von Feilitzen K., Oksvold P., Lundberg E., Hober S., Nilsson P., Mattsson J., Schwenk J.M., Brunnstrom H., Glimelius B., Sjoblom T., Edqvist P.-H., Djureinovic D., Micke P., Lindskog C., Mardinoglu A., Ponten F. A pathology atlas of the human cancer transcriptome. Science. 2017;357(6352):2507. doi:10.1126/science.aan2507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