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after="120" w:line="276" w:lineRule="auto"/>
        <w:jc w:val="center"/>
      </w:pPr>
      <w:r>
        <w:rPr>
          <w:rFonts w:ascii="Times New Roman" w:hAnsi="Times New Roman" w:eastAsia="Times New Roman"/>
          <w:b/>
          <w:i w:val="0"/>
          <w:sz w:val="32"/>
        </w:rPr>
        <w:t>Supplementary Materials for: C1Q/SPP1 Macrophage Spatial Context as a Traceability Feature in Non-Small Cell Lung Cancer: A Public Multi-Cohort Cancer-Informatics Study</w:t>
      </w:r>
    </w:p>
    <w:bookmarkStart w:id="11" w:name="supplementary-material"/>
    <w:p>
      <w:pPr>
        <w:spacing w:after="120" w:line="276" w:lineRule="auto"/>
        <w:jc w:val="center"/>
      </w:pPr>
      <w:r>
        <w:rPr>
          <w:rFonts w:ascii="Times New Roman" w:hAnsi="Times New Roman" w:eastAsia="Times New Roman"/>
          <w:b w:val="0"/>
          <w:i w:val="0"/>
          <w:sz w:val="22"/>
        </w:rPr>
        <w:t>Xiongjie Li1*, Fengyue Zhang2, Chaojia Luo1, Xuan Xu1</w:t>
      </w:r>
    </w:p>
    <w:p>
      <w:pPr>
        <w:spacing w:after="120" w:line="276" w:lineRule="auto"/>
        <w:jc w:val="center"/>
      </w:pPr>
      <w:r>
        <w:rPr>
          <w:rFonts w:ascii="Times New Roman" w:hAnsi="Times New Roman" w:eastAsia="Times New Roman"/>
          <w:b w:val="0"/>
          <w:i w:val="0"/>
          <w:sz w:val="22"/>
        </w:rPr>
        <w:t>1 Department of Cardiothoracic, Thyroid and Breast Surgery, Qianjiang Jianghan Oilfield General Hospital, No. T32, Guanghua Ankang Road, Qianjiang 433100, Hubei, China</w:t>
      </w:r>
    </w:p>
    <w:p>
      <w:pPr>
        <w:spacing w:after="120" w:line="276" w:lineRule="auto"/>
        <w:jc w:val="center"/>
      </w:pPr>
      <w:r>
        <w:rPr>
          <w:rFonts w:ascii="Times New Roman" w:hAnsi="Times New Roman" w:eastAsia="Times New Roman"/>
          <w:b w:val="0"/>
          <w:i w:val="0"/>
          <w:sz w:val="22"/>
        </w:rPr>
        <w:t>2 Department of Gastroenterology, Qianjiang Jianghan Oilfield General Hospital, Qianjiang 433100, Hubei, China</w:t>
      </w:r>
    </w:p>
    <w:p>
      <w:pPr>
        <w:spacing w:after="120" w:line="276" w:lineRule="auto"/>
        <w:jc w:val="center"/>
      </w:pPr>
      <w:r>
        <w:rPr>
          <w:rFonts w:ascii="Times New Roman" w:hAnsi="Times New Roman" w:eastAsia="Times New Roman"/>
          <w:b w:val="0"/>
          <w:i w:val="0"/>
          <w:sz w:val="22"/>
        </w:rPr>
        <w:t>*Correspondence: Xiongjie Li, MD; Department of Cardiothoracic, Thyroid and Breast Surgery, Qianjiang Jianghan Oilfield General Hospital, Qianjiang 433100, Hubei, China; Email: surobert518@163.com; ORCID: 0009-0005-9507-6829</w:t>
      </w:r>
    </w:p>
    <w:p>
      <w:pPr>
        <w:pStyle w:val="BodyText"/>
        <w:spacing w:line="276" w:lineRule="auto"/>
      </w:pPr>
      <w:r>
        <w:rPr>
          <w:rFonts w:ascii="Times New Roman" w:hAnsi="Times New Roman" w:eastAsia="Times New Roman"/>
          <w:sz w:val="22"/>
        </w:rPr>
        <w:t xml:space="preserve">This supplementary file contains Supplementary Figures S1-S12 and Supplementary Tables S1-S13, including feature-selection stability, MR diagnostics, spatial summaries, retrospective score-behavior tables, external-cohort covariate summaries, and reporting-boundary tables.</w:t>
      </w:r>
    </w:p>
    <w:bookmarkEnd w:id="11"/>
    <w:bookmarkStart w:id="60" w:name="supplementary-figures"/>
    <w:p>
      <w:pPr>
        <w:pStyle w:val="Heading1"/>
        <w:spacing w:line="276" w:lineRule="auto"/>
      </w:pPr>
      <w:r>
        <w:rPr>
          <w:rFonts w:ascii="Times New Roman" w:hAnsi="Times New Roman" w:eastAsia="Times New Roman"/>
          <w:b/>
          <w:sz w:val="28"/>
        </w:rPr>
        <w:t xml:space="preserve">Supplementary Figures</w:t>
      </w:r>
    </w:p>
    <w:bookmarkStart w:id="15" w:name="fig:S1"/>
    <w:p>
      <w:pPr>
        <w:pStyle w:val="CaptionedFigure"/>
        <w:spacing w:line="276" w:lineRule="auto"/>
      </w:pPr>
      <w:r>
        <w:rPr>
          <w:rFonts w:ascii="Times New Roman" w:hAnsi="Times New Roman" w:eastAsia="Times New Roman"/>
          <w:sz w:val="22"/>
        </w:rPr>
        <w:drawing>
          <wp:inline>
            <wp:extent cx="5067300" cy="3677224"/>
            <wp:effectExtent b="0" l="0" r="0" t="0"/>
            <wp:docPr descr="" title="" id="13" name="Picture"/>
            <a:graphic>
              <a:graphicData uri="http://schemas.openxmlformats.org/drawingml/2006/picture">
                <pic:pic>
                  <pic:nvPicPr>
                    <pic:cNvPr descr="../figures/docx_png/FigureS1.png" id="14" name="Picture"/>
                    <pic:cNvPicPr>
                      <a:picLocks noChangeArrowheads="1" noChangeAspect="1"/>
                    </pic:cNvPicPr>
                  </pic:nvPicPr>
                  <pic:blipFill>
                    <a:blip r:embed="rId12"/>
                    <a:stretch>
                      <a:fillRect/>
                    </a:stretch>
                  </pic:blipFill>
                  <pic:spPr bwMode="auto">
                    <a:xfrm>
                      <a:off x="0" y="0"/>
                      <a:ext cx="5067300" cy="3677224"/>
                    </a:xfrm>
                    <a:prstGeom prst="rect">
                      <a:avLst/>
                    </a:prstGeom>
                    <a:noFill/>
                    <a:ln w="9525">
                      <a:noFill/>
                      <a:headEnd/>
                      <a:tailEnd/>
                    </a:ln>
                  </pic:spPr>
                </pic:pic>
              </a:graphicData>
            </a:graphic>
          </wp:inline>
        </w:drawing>
      </w:r>
    </w:p>
    <w:p>
      <w:pPr>
        <w:pStyle w:val="Caption"/>
        <w:spacing w:before="60" w:after="160" w:line="276" w:lineRule="auto"/>
        <w:jc w:val="left"/>
      </w:pPr>
      <w:r>
        <w:rPr>
          <w:rFonts w:ascii="Times New Roman" w:hAnsi="Times New Roman" w:eastAsia="Times New Roman"/>
          <w:b/>
          <w:sz w:val="20"/>
        </w:rPr>
        <w:t>Figure S1. C1Q-axis scoring, dimensionality, and cross-platform spatial-context checks.</w:t>
      </w:r>
      <w:r>
        <w:rPr>
          <w:rFonts w:ascii="Times New Roman" w:hAnsi="Times New Roman" w:eastAsia="Times New Roman"/>
          <w:b w:val="0"/>
          <w:sz w:val="20"/>
        </w:rPr>
        <w:t xml:space="preserve"> (A) Distribution of the C1Q-axis score. (B) Elbow-plot summary used to inspect dimensional structure. (C) Silhouette analysis used to assess cluster separation. (D) Visium-based technical-control comparison. (E) CosMx-based biological-signal comparison. These panels are interpreted as quality and traceability checks rather than patient-level confirmation.</w:t>
      </w:r>
    </w:p>
    <w:bookmarkEnd w:id="15"/>
    <w:bookmarkStart w:id="19" w:name="fig:S2"/>
    <w:p>
      <w:pPr>
        <w:pStyle w:val="CaptionedFigure"/>
        <w:spacing w:line="276" w:lineRule="auto"/>
      </w:pPr>
      <w:r>
        <w:rPr>
          <w:rFonts w:ascii="Times New Roman" w:hAnsi="Times New Roman" w:eastAsia="Times New Roman"/>
          <w:sz w:val="22"/>
        </w:rPr>
        <w:drawing>
          <wp:inline>
            <wp:extent cx="5067300" cy="4013029"/>
            <wp:effectExtent b="0" l="0" r="0" t="0"/>
            <wp:docPr descr="" title="" id="17" name="Picture"/>
            <a:graphic>
              <a:graphicData uri="http://schemas.openxmlformats.org/drawingml/2006/picture">
                <pic:pic>
                  <pic:nvPicPr>
                    <pic:cNvPr descr="../figures/docx_png/FigureS2.png" id="18" name="Picture"/>
                    <pic:cNvPicPr>
                      <a:picLocks noChangeArrowheads="1" noChangeAspect="1"/>
                    </pic:cNvPicPr>
                  </pic:nvPicPr>
                  <pic:blipFill>
                    <a:blip r:embed="rId16"/>
                    <a:stretch>
                      <a:fillRect/>
                    </a:stretch>
                  </pic:blipFill>
                  <pic:spPr bwMode="auto">
                    <a:xfrm>
                      <a:off x="0" y="0"/>
                      <a:ext cx="5067300" cy="4013029"/>
                    </a:xfrm>
                    <a:prstGeom prst="rect">
                      <a:avLst/>
                    </a:prstGeom>
                    <a:noFill/>
                    <a:ln w="9525">
                      <a:noFill/>
                      <a:headEnd/>
                      <a:tailEnd/>
                    </a:ln>
                  </pic:spPr>
                </pic:pic>
              </a:graphicData>
            </a:graphic>
          </wp:inline>
        </w:drawing>
      </w:r>
    </w:p>
    <w:p>
      <w:pPr>
        <w:pStyle w:val="Caption"/>
        <w:spacing w:before="60" w:after="160" w:line="276" w:lineRule="auto"/>
        <w:jc w:val="left"/>
      </w:pPr>
      <w:r>
        <w:rPr>
          <w:rFonts w:ascii="Times New Roman" w:hAnsi="Times New Roman" w:eastAsia="Times New Roman"/>
          <w:b/>
          <w:sz w:val="20"/>
        </w:rPr>
        <w:t>Figure S2. Feature-selection stability and internal score-assessment details.</w:t>
      </w:r>
      <w:r>
        <w:rPr>
          <w:rFonts w:ascii="Times New Roman" w:hAnsi="Times New Roman" w:eastAsia="Times New Roman"/>
          <w:b w:val="0"/>
          <w:sz w:val="20"/>
        </w:rPr>
        <w:t xml:space="preserve"> (A) Penalized-model tuning and internal discrimination summary. (B) Feature-selection stability across nested cross-validation folds. (C) Internal assessment of subtype-related discrimination. These panels support retrospective score construction and are not presented as clinical-readiness evidence.</w:t>
      </w:r>
    </w:p>
    <w:bookmarkEnd w:id="19"/>
    <w:bookmarkStart w:id="23" w:name="fig:S3"/>
    <w:p>
      <w:pPr>
        <w:pStyle w:val="CaptionedFigure"/>
        <w:spacing w:line="276" w:lineRule="auto"/>
      </w:pPr>
      <w:r>
        <w:rPr>
          <w:rFonts w:ascii="Times New Roman" w:hAnsi="Times New Roman" w:eastAsia="Times New Roman"/>
          <w:sz w:val="22"/>
        </w:rPr>
        <w:drawing>
          <wp:inline>
            <wp:extent cx="5067300" cy="3040013"/>
            <wp:effectExtent b="0" l="0" r="0" t="0"/>
            <wp:docPr descr="" title="" id="21" name="Picture"/>
            <a:graphic>
              <a:graphicData uri="http://schemas.openxmlformats.org/drawingml/2006/picture">
                <pic:pic>
                  <pic:nvPicPr>
                    <pic:cNvPr descr="../figures/docx_png/FigureS3.png" id="22" name="Picture"/>
                    <pic:cNvPicPr>
                      <a:picLocks noChangeArrowheads="1" noChangeAspect="1"/>
                    </pic:cNvPicPr>
                  </pic:nvPicPr>
                  <pic:blipFill>
                    <a:blip r:embed="rId20"/>
                    <a:stretch>
                      <a:fillRect/>
                    </a:stretch>
                  </pic:blipFill>
                  <pic:spPr bwMode="auto">
                    <a:xfrm>
                      <a:off x="0" y="0"/>
                      <a:ext cx="5067300" cy="3040013"/>
                    </a:xfrm>
                    <a:prstGeom prst="rect">
                      <a:avLst/>
                    </a:prstGeom>
                    <a:noFill/>
                    <a:ln w="9525">
                      <a:noFill/>
                      <a:headEnd/>
                      <a:tailEnd/>
                    </a:ln>
                  </pic:spPr>
                </pic:pic>
              </a:graphicData>
            </a:graphic>
          </wp:inline>
        </w:drawing>
      </w:r>
    </w:p>
    <w:p>
      <w:pPr>
        <w:pStyle w:val="Caption"/>
        <w:spacing w:before="60" w:after="160" w:line="276" w:lineRule="auto"/>
        <w:jc w:val="left"/>
      </w:pPr>
      <w:r>
        <w:rPr>
          <w:rFonts w:ascii="Times New Roman" w:hAnsi="Times New Roman" w:eastAsia="Times New Roman"/>
          <w:b/>
          <w:sz w:val="20"/>
        </w:rPr>
        <w:t>Figure S3. Functional enrichment analysis of model-associated genes.</w:t>
      </w:r>
      <w:r>
        <w:rPr>
          <w:rFonts w:ascii="Times New Roman" w:hAnsi="Times New Roman" w:eastAsia="Times New Roman"/>
          <w:b w:val="0"/>
          <w:sz w:val="20"/>
        </w:rPr>
        <w:t xml:space="preserve"> (A) Gene Ontology (GO) biological-process enrichment analysis. (B) KEGG pathway enrichment analysis. (C) Gene Ontology molecular-function and cellular-component enrichment summary. These panels provide functional context for the feature set and are not interpreted as pathway-level confirmation.</w:t>
      </w:r>
    </w:p>
    <w:bookmarkEnd w:id="23"/>
    <w:bookmarkStart w:id="27" w:name="fig:S4"/>
    <w:p>
      <w:pPr>
        <w:pStyle w:val="CaptionedFigure"/>
        <w:spacing w:line="276" w:lineRule="auto"/>
      </w:pPr>
      <w:r>
        <w:rPr>
          <w:rFonts w:ascii="Times New Roman" w:hAnsi="Times New Roman" w:eastAsia="Times New Roman"/>
          <w:sz w:val="22"/>
        </w:rPr>
        <w:drawing>
          <wp:inline>
            <wp:extent cx="5067300" cy="4045446"/>
            <wp:effectExtent b="0" l="0" r="0" t="0"/>
            <wp:docPr descr="" title="" id="25" name="Picture"/>
            <a:graphic>
              <a:graphicData uri="http://schemas.openxmlformats.org/drawingml/2006/picture">
                <pic:pic>
                  <pic:nvPicPr>
                    <pic:cNvPr descr="../figures/docx_png/FigureS4.png" id="26" name="Picture"/>
                    <pic:cNvPicPr>
                      <a:picLocks noChangeArrowheads="1" noChangeAspect="1"/>
                    </pic:cNvPicPr>
                  </pic:nvPicPr>
                  <pic:blipFill>
                    <a:blip r:embed="rId24"/>
                    <a:stretch>
                      <a:fillRect/>
                    </a:stretch>
                  </pic:blipFill>
                  <pic:spPr bwMode="auto">
                    <a:xfrm>
                      <a:off x="0" y="0"/>
                      <a:ext cx="5067300" cy="4045446"/>
                    </a:xfrm>
                    <a:prstGeom prst="rect">
                      <a:avLst/>
                    </a:prstGeom>
                    <a:noFill/>
                    <a:ln w="9525">
                      <a:noFill/>
                      <a:headEnd/>
                      <a:tailEnd/>
                    </a:ln>
                  </pic:spPr>
                </pic:pic>
              </a:graphicData>
            </a:graphic>
          </wp:inline>
        </w:drawing>
      </w:r>
    </w:p>
    <w:p>
      <w:pPr>
        <w:pStyle w:val="Caption"/>
        <w:spacing w:before="60" w:after="160" w:line="276" w:lineRule="auto"/>
        <w:jc w:val="left"/>
      </w:pPr>
      <w:r>
        <w:rPr>
          <w:rFonts w:ascii="Times New Roman" w:hAnsi="Times New Roman" w:eastAsia="Times New Roman"/>
          <w:b/>
          <w:sz w:val="20"/>
        </w:rPr>
        <w:t>Figure S4. Exploratory correlation, survival, and pathway context for immune-related features.</w:t>
      </w:r>
      <w:r>
        <w:rPr>
          <w:rFonts w:ascii="Times New Roman" w:hAnsi="Times New Roman" w:eastAsia="Times New Roman"/>
          <w:b w:val="0"/>
          <w:sz w:val="20"/>
        </w:rPr>
        <w:t xml:space="preserve"> The panels summarize gene-correlation structure, survival-associated stratification, and pathway-level enrichment for the candidate feature context. These analyses are descriptive and should not be interpreted as immune-checkpoint confirmation.</w:t>
      </w:r>
    </w:p>
    <w:bookmarkEnd w:id="27"/>
    <w:bookmarkStart w:id="31" w:name="fig:S5"/>
    <w:p>
      <w:pPr>
        <w:pStyle w:val="CaptionedFigure"/>
        <w:spacing w:line="276" w:lineRule="auto"/>
      </w:pPr>
      <w:r>
        <w:rPr>
          <w:rFonts w:ascii="Times New Roman" w:hAnsi="Times New Roman" w:eastAsia="Times New Roman"/>
          <w:sz w:val="22"/>
        </w:rPr>
        <w:drawing>
          <wp:inline>
            <wp:extent cx="5067300" cy="5750983"/>
            <wp:effectExtent b="0" l="0" r="0" t="0"/>
            <wp:docPr descr="" title="" id="29" name="Picture"/>
            <a:graphic>
              <a:graphicData uri="http://schemas.openxmlformats.org/drawingml/2006/picture">
                <pic:pic>
                  <pic:nvPicPr>
                    <pic:cNvPr descr="../figures/docx_png/FigureS5.png" id="30" name="Picture"/>
                    <pic:cNvPicPr>
                      <a:picLocks noChangeArrowheads="1" noChangeAspect="1"/>
                    </pic:cNvPicPr>
                  </pic:nvPicPr>
                  <pic:blipFill>
                    <a:blip r:embed="rId28"/>
                    <a:stretch>
                      <a:fillRect/>
                    </a:stretch>
                  </pic:blipFill>
                  <pic:spPr bwMode="auto">
                    <a:xfrm>
                      <a:off x="0" y="0"/>
                      <a:ext cx="5067300" cy="5750983"/>
                    </a:xfrm>
                    <a:prstGeom prst="rect">
                      <a:avLst/>
                    </a:prstGeom>
                    <a:noFill/>
                    <a:ln w="9525">
                      <a:noFill/>
                      <a:headEnd/>
                      <a:tailEnd/>
                    </a:ln>
                  </pic:spPr>
                </pic:pic>
              </a:graphicData>
            </a:graphic>
          </wp:inline>
        </w:drawing>
      </w:r>
    </w:p>
    <w:p>
      <w:pPr>
        <w:pStyle w:val="Caption"/>
        <w:spacing w:before="60" w:after="160" w:line="276" w:lineRule="auto"/>
        <w:jc w:val="left"/>
      </w:pPr>
      <w:r>
        <w:rPr>
          <w:rFonts w:ascii="Times New Roman" w:hAnsi="Times New Roman" w:eastAsia="Times New Roman"/>
          <w:b/>
          <w:sz w:val="20"/>
        </w:rPr>
        <w:t>Figure S5. Pan-cancer exploratory traceability of core candidate genes.</w:t>
      </w:r>
      <w:r>
        <w:rPr>
          <w:rFonts w:ascii="Times New Roman" w:hAnsi="Times New Roman" w:eastAsia="Times New Roman"/>
          <w:b w:val="0"/>
          <w:sz w:val="20"/>
        </w:rPr>
        <w:t xml:space="preserve"> (A) Statistical overview of significant genes identified across 33 cancer types in the exploratory screen. (B) Heatmap of prognostic coefficients (Beta) for five candidate genes (KCNAB2, PLOD1, CDC42, TNF, C1QA) across 33 cancer types. (C) GEPIA-based Overall Survival Map for KCNAB2, presented as an external context check rather than confirmation. (D) GEPIA Expression Boxplot for KCNAB2 in Lung Adenocarcinoma (LUAD) and Squamous Cell Carcinoma (LUSC).</w:t>
      </w:r>
    </w:p>
    <w:bookmarkEnd w:id="31"/>
    <w:bookmarkStart w:id="35" w:name="fig:S6"/>
    <w:p>
      <w:pPr>
        <w:pStyle w:val="CaptionedFigure"/>
        <w:spacing w:line="276" w:lineRule="auto"/>
      </w:pPr>
      <w:r>
        <w:rPr>
          <w:rFonts w:ascii="Times New Roman" w:hAnsi="Times New Roman" w:eastAsia="Times New Roman"/>
          <w:sz w:val="22"/>
        </w:rPr>
        <w:drawing>
          <wp:inline>
            <wp:extent cx="5067300" cy="1583061"/>
            <wp:effectExtent b="0" l="0" r="0" t="0"/>
            <wp:docPr descr="" title="" id="33" name="Picture"/>
            <a:graphic>
              <a:graphicData uri="http://schemas.openxmlformats.org/drawingml/2006/picture">
                <pic:pic>
                  <pic:nvPicPr>
                    <pic:cNvPr descr="../figures/docx_png/FigureS6.png" id="34" name="Picture"/>
                    <pic:cNvPicPr>
                      <a:picLocks noChangeArrowheads="1" noChangeAspect="1"/>
                    </pic:cNvPicPr>
                  </pic:nvPicPr>
                  <pic:blipFill>
                    <a:blip r:embed="rId32"/>
                    <a:stretch>
                      <a:fillRect/>
                    </a:stretch>
                  </pic:blipFill>
                  <pic:spPr bwMode="auto">
                    <a:xfrm>
                      <a:off x="0" y="0"/>
                      <a:ext cx="5067300" cy="1583061"/>
                    </a:xfrm>
                    <a:prstGeom prst="rect">
                      <a:avLst/>
                    </a:prstGeom>
                    <a:noFill/>
                    <a:ln w="9525">
                      <a:noFill/>
                      <a:headEnd/>
                      <a:tailEnd/>
                    </a:ln>
                  </pic:spPr>
                </pic:pic>
              </a:graphicData>
            </a:graphic>
          </wp:inline>
        </w:drawing>
      </w:r>
    </w:p>
    <w:p>
      <w:pPr>
        <w:pStyle w:val="Caption"/>
        <w:spacing w:before="60" w:after="160" w:line="276" w:lineRule="auto"/>
        <w:jc w:val="left"/>
      </w:pPr>
      <m:oMath>
        <m:r>
          <m:t>P</m:t>
        </m:r>
        <m:r>
          <m:rPr>
            <m:sty m:val="p"/>
          </m:rPr>
          <m:t>&lt;</m:t>
        </m:r>
        <m:r>
          <m:t>0.050</m:t>
        </m:r>
      </m:oMath>
      <m:oMath>
        <m:r>
          <m:t>P</m:t>
        </m:r>
        <m:r>
          <m:rPr>
            <m:sty m:val="p"/>
          </m:rPr>
          <m:t>&lt;</m:t>
        </m:r>
        <m:r>
          <m:t>0.010</m:t>
        </m:r>
      </m:oMath>
      <m:oMath>
        <m:r>
          <m:t>P</m:t>
        </m:r>
        <m:r>
          <m:rPr>
            <m:sty m:val="p"/>
          </m:rPr>
          <m:t>&lt;</m:t>
        </m:r>
        <m:r>
          <m:t>0.001</m:t>
        </m:r>
      </m:oMath>
      <w:r>
        <w:rPr>
          <w:rFonts w:ascii="Times New Roman" w:hAnsi="Times New Roman" w:eastAsia="Times New Roman"/>
          <w:b/>
          <w:sz w:val="20"/>
        </w:rPr>
        <w:t>Figure S6. Correlation analysis between hub genes and immune-context estimates. Clustered heatmap displaying Pearson correlation coefficients between hub genes (KCNAB2, PLOD1) and 23 immune-context estimates predicted by GigaTIME. Red indicates positive correlation; blue indicates negative correlation. *, **, *** P &lt; 0.001. CD138 is interpreted as plasma-cell context, not as a macrophage marker.</w:t>
      </w:r>
    </w:p>
    <w:bookmarkEnd w:id="35"/>
    <w:bookmarkStart w:id="39" w:name="fig:S7"/>
    <w:p>
      <w:pPr>
        <w:pStyle w:val="CaptionedFigure"/>
        <w:spacing w:line="276" w:lineRule="auto"/>
      </w:pPr>
      <w:r>
        <w:rPr>
          <w:rFonts w:ascii="Times New Roman" w:hAnsi="Times New Roman" w:eastAsia="Times New Roman"/>
          <w:sz w:val="22"/>
        </w:rPr>
        <w:drawing>
          <wp:inline>
            <wp:extent cx="5067300" cy="3040380"/>
            <wp:effectExtent b="0" l="0" r="0" t="0"/>
            <wp:docPr descr="" title="" id="37" name="Picture"/>
            <a:graphic>
              <a:graphicData uri="http://schemas.openxmlformats.org/drawingml/2006/picture">
                <pic:pic>
                  <pic:nvPicPr>
                    <pic:cNvPr descr="../figures/docx_png/FigureS7.png" id="38" name="Picture"/>
                    <pic:cNvPicPr>
                      <a:picLocks noChangeArrowheads="1" noChangeAspect="1"/>
                    </pic:cNvPicPr>
                  </pic:nvPicPr>
                  <pic:blipFill>
                    <a:blip r:embed="rId36"/>
                    <a:stretch>
                      <a:fillRect/>
                    </a:stretch>
                  </pic:blipFill>
                  <pic:spPr bwMode="auto">
                    <a:xfrm>
                      <a:off x="0" y="0"/>
                      <a:ext cx="5067300" cy="3040380"/>
                    </a:xfrm>
                    <a:prstGeom prst="rect">
                      <a:avLst/>
                    </a:prstGeom>
                    <a:noFill/>
                    <a:ln w="9525">
                      <a:noFill/>
                      <a:headEnd/>
                      <a:tailEnd/>
                    </a:ln>
                  </pic:spPr>
                </pic:pic>
              </a:graphicData>
            </a:graphic>
          </wp:inline>
        </w:drawing>
      </w:r>
    </w:p>
    <w:p>
      <w:pPr>
        <w:pStyle w:val="Caption"/>
        <w:spacing w:before="60" w:after="160" w:line="276" w:lineRule="auto"/>
        <w:jc w:val="left"/>
      </w:pPr>
      <m:oMath>
        <m:r>
          <m:t>P</m:t>
        </m:r>
        <m:r>
          <m:rPr>
            <m:sty m:val="p"/>
          </m:rPr>
          <m:t>&lt;</m:t>
        </m:r>
        <m:r>
          <m:t>0.050</m:t>
        </m:r>
      </m:oMath>
      <m:oMath>
        <m:r>
          <m:t>P</m:t>
        </m:r>
        <m:r>
          <m:rPr>
            <m:sty m:val="p"/>
          </m:rPr>
          <m:t>&lt;</m:t>
        </m:r>
        <m:r>
          <m:t>0.010</m:t>
        </m:r>
      </m:oMath>
      <m:oMath>
        <m:r>
          <m:t>P</m:t>
        </m:r>
        <m:r>
          <m:rPr>
            <m:sty m:val="p"/>
          </m:rPr>
          <m:t>&lt;</m:t>
        </m:r>
        <m:r>
          <m:t>0.001</m:t>
        </m:r>
      </m:oMath>
      <m:oMath>
        <m:r>
          <m:t>P</m:t>
        </m:r>
        <m:r>
          <m:rPr>
            <m:sty m:val="p"/>
          </m:rPr>
          <m:t>&lt;</m:t>
        </m:r>
        <m:r>
          <m:t>0.0001</m:t>
        </m:r>
      </m:oMath>
      <w:r>
        <w:rPr>
          <w:rFonts w:ascii="Times New Roman" w:hAnsi="Times New Roman" w:eastAsia="Times New Roman"/>
          <w:b/>
          <w:sz w:val="20"/>
        </w:rPr>
        <w:t>Figure S7. Exploratory expression differences for selected cancer-associated genes in GSE31210 score groups. Boxplots show expression levels of selected genes, including PTEN, TP63, TP53, BRAF, and NOTCH1, across high- and low-score groups in the GSE31210 traceability cohort. These panels provide exploratory context only and are not used as the primary basis for candidate prioritization. Statistical significance was assessed using the Mann-Whitney U test (*, **, ***, **** ).</w:t>
      </w:r>
    </w:p>
    <w:bookmarkEnd w:id="39"/>
    <w:bookmarkStart w:id="43" w:name="fig:S8"/>
    <w:p>
      <w:pPr>
        <w:pStyle w:val="CaptionedFigure"/>
        <w:spacing w:line="276" w:lineRule="auto"/>
      </w:pPr>
      <w:r>
        <w:rPr>
          <w:rFonts w:ascii="Times New Roman" w:hAnsi="Times New Roman" w:eastAsia="Times New Roman"/>
          <w:sz w:val="22"/>
        </w:rPr>
        <w:drawing>
          <wp:inline>
            <wp:extent cx="5067300" cy="4159932"/>
            <wp:effectExtent b="0" l="0" r="0" t="0"/>
            <wp:docPr descr="" title="" id="41" name="Picture"/>
            <a:graphic>
              <a:graphicData uri="http://schemas.openxmlformats.org/drawingml/2006/picture">
                <pic:pic>
                  <pic:nvPicPr>
                    <pic:cNvPr descr="../figures/docx_png/FigureS8.png" id="42" name="Picture"/>
                    <pic:cNvPicPr>
                      <a:picLocks noChangeArrowheads="1" noChangeAspect="1"/>
                    </pic:cNvPicPr>
                  </pic:nvPicPr>
                  <pic:blipFill>
                    <a:blip r:embed="rId40"/>
                    <a:stretch>
                      <a:fillRect/>
                    </a:stretch>
                  </pic:blipFill>
                  <pic:spPr bwMode="auto">
                    <a:xfrm>
                      <a:off x="0" y="0"/>
                      <a:ext cx="5067300" cy="4159932"/>
                    </a:xfrm>
                    <a:prstGeom prst="rect">
                      <a:avLst/>
                    </a:prstGeom>
                    <a:noFill/>
                    <a:ln w="9525">
                      <a:noFill/>
                      <a:headEnd/>
                      <a:tailEnd/>
                    </a:ln>
                  </pic:spPr>
                </pic:pic>
              </a:graphicData>
            </a:graphic>
          </wp:inline>
        </w:drawing>
      </w:r>
    </w:p>
    <w:p>
      <w:pPr>
        <w:pStyle w:val="Caption"/>
        <w:spacing w:before="60" w:after="160" w:line="276" w:lineRule="auto"/>
        <w:jc w:val="left"/>
      </w:pPr>
      <w:r>
        <w:rPr>
          <w:rFonts w:ascii="Times New Roman" w:hAnsi="Times New Roman" w:eastAsia="Times New Roman"/>
          <w:b w:val="0"/>
          <w:i w:val="0"/>
          <w:sz w:val="20"/>
        </w:rPr>
        <w:t>Figure S8. 5-fold cross-validation score-behavior and algorithm comparison. (A) ROC curves from each of the 5 cross-validation folds. The mean AUC across all folds was 0.743 ± 0.028, indicating internally reproducible but retrospective discrimination. (B) Algorithm-comparison bar chart showing AUC, Accuracy, Precision, Recall, and F1-score across different machine learning algorithms (AdaBoost, Random Forest, XGBoost, Logistic Regression, SVM). Algorithm rankings varied by metric; no single model is interpreted as clinically superior. Error bars represent standard deviation across the 5 CV folds.</w:t>
      </w:r>
    </w:p>
    <w:bookmarkEnd w:id="43"/>
    <w:bookmarkStart w:id="47" w:name="fig:S9"/>
    <w:p>
      <w:pPr>
        <w:pStyle w:val="CaptionedFigure"/>
        <w:spacing w:line="276" w:lineRule="auto"/>
      </w:pPr>
      <w:r>
        <w:rPr>
          <w:rFonts w:ascii="Times New Roman" w:hAnsi="Times New Roman" w:eastAsia="Times New Roman"/>
          <w:sz w:val="22"/>
        </w:rPr>
        <w:drawing>
          <wp:inline>
            <wp:extent cx="5067300" cy="4399110"/>
            <wp:effectExtent b="0" l="0" r="0" t="0"/>
            <wp:docPr descr="" title="" id="45" name="Picture"/>
            <a:graphic>
              <a:graphicData uri="http://schemas.openxmlformats.org/drawingml/2006/picture">
                <pic:pic>
                  <pic:nvPicPr>
                    <pic:cNvPr descr="../figures/docx_png/FigureS9.png" id="46" name="Picture"/>
                    <pic:cNvPicPr>
                      <a:picLocks noChangeArrowheads="1" noChangeAspect="1"/>
                    </pic:cNvPicPr>
                  </pic:nvPicPr>
                  <pic:blipFill>
                    <a:blip r:embed="rId44"/>
                    <a:stretch>
                      <a:fillRect/>
                    </a:stretch>
                  </pic:blipFill>
                  <pic:spPr bwMode="auto">
                    <a:xfrm>
                      <a:off x="0" y="0"/>
                      <a:ext cx="5067300" cy="4399110"/>
                    </a:xfrm>
                    <a:prstGeom prst="rect">
                      <a:avLst/>
                    </a:prstGeom>
                    <a:noFill/>
                    <a:ln w="9525">
                      <a:noFill/>
                      <a:headEnd/>
                      <a:tailEnd/>
                    </a:ln>
                  </pic:spPr>
                </pic:pic>
              </a:graphicData>
            </a:graphic>
          </wp:inline>
        </w:drawing>
      </w:r>
    </w:p>
    <w:p>
      <w:pPr>
        <w:pStyle w:val="Caption"/>
        <w:spacing w:before="60" w:after="160" w:line="276" w:lineRule="auto"/>
        <w:jc w:val="left"/>
      </w:pPr>
      <w:r>
        <w:rPr>
          <w:rFonts w:ascii="Times New Roman" w:hAnsi="Times New Roman" w:eastAsia="Times New Roman"/>
          <w:b/>
          <w:sz w:val="20"/>
        </w:rPr>
        <w:t>Figure S9. Mendelian-randomization leave-one-out sensitivity analysis.</w:t>
      </w:r>
      <w:r>
        <w:rPr>
          <w:rFonts w:ascii="Times New Roman" w:hAnsi="Times New Roman" w:eastAsia="Times New Roman"/>
          <w:b w:val="0"/>
          <w:sz w:val="20"/>
        </w:rPr>
        <w:t xml:space="preserve"> Leave-one-out plots for prioritized genes (including KCNAB2, C1QA, and ACP5), showing whether the MR estimate is dominated by any single instrumental variable (SNP). These analyses support gene prioritization under instrumental-variable assumptions but do not prove mechanism.</w:t>
      </w:r>
    </w:p>
    <w:bookmarkEnd w:id="47"/>
    <w:bookmarkStart w:id="51" w:name="fig:S10"/>
    <w:p>
      <w:pPr>
        <w:pStyle w:val="CaptionedFigure"/>
        <w:spacing w:line="276" w:lineRule="auto"/>
      </w:pPr>
      <w:r>
        <w:rPr>
          <w:rFonts w:ascii="Times New Roman" w:hAnsi="Times New Roman" w:eastAsia="Times New Roman"/>
          <w:sz w:val="22"/>
        </w:rPr>
        <w:drawing>
          <wp:inline>
            <wp:extent cx="5067300" cy="5094301"/>
            <wp:effectExtent b="0" l="0" r="0" t="0"/>
            <wp:docPr descr="" title="" id="49" name="Picture"/>
            <a:graphic>
              <a:graphicData uri="http://schemas.openxmlformats.org/drawingml/2006/picture">
                <pic:pic>
                  <pic:nvPicPr>
                    <pic:cNvPr descr="../figures/docx_png/FigureS10.png" id="50" name="Picture"/>
                    <pic:cNvPicPr>
                      <a:picLocks noChangeArrowheads="1" noChangeAspect="1"/>
                    </pic:cNvPicPr>
                  </pic:nvPicPr>
                  <pic:blipFill>
                    <a:blip r:embed="rId48"/>
                    <a:stretch>
                      <a:fillRect/>
                    </a:stretch>
                  </pic:blipFill>
                  <pic:spPr bwMode="auto">
                    <a:xfrm>
                      <a:off x="0" y="0"/>
                      <a:ext cx="5067300" cy="5094301"/>
                    </a:xfrm>
                    <a:prstGeom prst="rect">
                      <a:avLst/>
                    </a:prstGeom>
                    <a:noFill/>
                    <a:ln w="9525">
                      <a:noFill/>
                      <a:headEnd/>
                      <a:tailEnd/>
                    </a:ln>
                  </pic:spPr>
                </pic:pic>
              </a:graphicData>
            </a:graphic>
          </wp:inline>
        </w:drawing>
      </w:r>
    </w:p>
    <w:p>
      <w:pPr>
        <w:pStyle w:val="Caption"/>
        <w:spacing w:before="60" w:after="160" w:line="276" w:lineRule="auto"/>
        <w:jc w:val="left"/>
      </w:pPr>
      <m:oMath>
        <m:r>
          <m:t>β</m:t>
        </m:r>
      </m:oMath>
      <w:r>
        <w:rPr>
          <w:rFonts w:ascii="Times New Roman" w:hAnsi="Times New Roman" w:eastAsia="Times New Roman"/>
          <w:b/>
          <w:sz w:val="20"/>
        </w:rPr>
        <w:t>Figure S10. Leave-one-out sensitivity analysis for MR-prioritized genes.</w:t>
      </w:r>
      <w:r>
        <w:rPr>
          <w:rFonts w:ascii="Times New Roman" w:hAnsi="Times New Roman" w:eastAsia="Times New Roman"/>
          <w:b w:val="0"/>
          <w:sz w:val="20"/>
        </w:rPr>
        <w:t xml:space="preserve"> Each point represents the recalculated inverse variance weighted (IVW) estimate after systematically removing one SNP at a time. The red star indicates the original estimate using all SNPs. Error bars represent 95% confidence intervals. The dashed vertical line indicates the null effect ( = 0). Stable direction across leave-one-out analyses is interpreted as support for prioritization, not as definitive causal proof.</w:t>
      </w:r>
    </w:p>
    <w:bookmarkEnd w:id="51"/>
    <w:bookmarkStart w:id="55" w:name="fig:S11"/>
    <w:p>
      <w:pPr>
        <w:pStyle w:val="CaptionedFigure"/>
        <w:spacing w:line="276" w:lineRule="auto"/>
      </w:pPr>
      <w:r>
        <w:rPr>
          <w:rFonts w:ascii="Times New Roman" w:hAnsi="Times New Roman" w:eastAsia="Times New Roman"/>
          <w:sz w:val="22"/>
        </w:rPr>
        <w:drawing>
          <wp:inline>
            <wp:extent cx="5067300" cy="1486434"/>
            <wp:effectExtent b="0" l="0" r="0" t="0"/>
            <wp:docPr descr="" title="" id="53" name="Picture"/>
            <a:graphic>
              <a:graphicData uri="http://schemas.openxmlformats.org/drawingml/2006/picture">
                <pic:pic>
                  <pic:nvPicPr>
                    <pic:cNvPr descr="../figures/docx_png/FigureY_hotspot_collapse.png" id="54" name="Picture"/>
                    <pic:cNvPicPr>
                      <a:picLocks noChangeArrowheads="1" noChangeAspect="1"/>
                    </pic:cNvPicPr>
                  </pic:nvPicPr>
                  <pic:blipFill>
                    <a:blip r:embed="rId52"/>
                    <a:stretch>
                      <a:fillRect/>
                    </a:stretch>
                  </pic:blipFill>
                  <pic:spPr bwMode="auto">
                    <a:xfrm>
                      <a:off x="0" y="0"/>
                      <a:ext cx="5067300" cy="1486434"/>
                    </a:xfrm>
                    <a:prstGeom prst="rect">
                      <a:avLst/>
                    </a:prstGeom>
                    <a:noFill/>
                    <a:ln w="9525">
                      <a:noFill/>
                      <a:headEnd/>
                      <a:tailEnd/>
                    </a:ln>
                  </pic:spPr>
                </pic:pic>
              </a:graphicData>
            </a:graphic>
          </wp:inline>
        </w:drawing>
      </w:r>
    </w:p>
    <w:p>
      <w:pPr>
        <w:pStyle w:val="Caption"/>
        <w:spacing w:before="60" w:after="160" w:line="276" w:lineRule="auto"/>
        <w:jc w:val="left"/>
      </w:pPr>
      <w:r>
        <w:rPr>
          <w:rFonts w:ascii="Times New Roman" w:hAnsi="Times New Roman" w:eastAsia="Times New Roman"/>
          <w:b/>
          <w:sz w:val="20"/>
        </w:rPr>
        <w:t>Figure S11. Counterfactual C1QA scoring sensitivity of spatial summaries.</w:t>
      </w:r>
      <w:r>
        <w:rPr>
          <w:rFonts w:ascii="Times New Roman" w:hAnsi="Times New Roman" w:eastAsia="Times New Roman"/>
          <w:b w:val="0"/>
          <w:sz w:val="20"/>
        </w:rPr>
        <w:t xml:space="preserve"> Transcriptomic manifold maps before and after computational C1QA attenuation show reduced high-C1Q score regions. The paired Moran’s I summary shows reduced spatial autocorrelation after score recomputation, supporting score dependency rather than experimental perturbation or causal proof.</w:t>
      </w:r>
    </w:p>
    <w:bookmarkEnd w:id="55"/>
    <w:bookmarkStart w:id="59" w:name="fig:S12"/>
    <w:p>
      <w:pPr>
        <w:pStyle w:val="CaptionedFigure"/>
        <w:spacing w:line="276" w:lineRule="auto"/>
      </w:pPr>
      <w:r>
        <w:rPr>
          <w:rFonts w:ascii="Times New Roman" w:hAnsi="Times New Roman" w:eastAsia="Times New Roman"/>
          <w:sz w:val="22"/>
        </w:rPr>
        <w:drawing>
          <wp:inline>
            <wp:extent cx="5067300" cy="1485855"/>
            <wp:effectExtent b="0" l="0" r="0" t="0"/>
            <wp:docPr descr="" title="" id="57" name="Picture"/>
            <a:graphic>
              <a:graphicData uri="http://schemas.openxmlformats.org/drawingml/2006/picture">
                <pic:pic>
                  <pic:nvPicPr>
                    <pic:cNvPr descr="../figures/docx_png/FigureS12_mechanism_modules.png" id="58" name="Picture"/>
                    <pic:cNvPicPr>
                      <a:picLocks noChangeArrowheads="1" noChangeAspect="1"/>
                    </pic:cNvPicPr>
                  </pic:nvPicPr>
                  <pic:blipFill>
                    <a:blip r:embed="rId56"/>
                    <a:stretch>
                      <a:fillRect/>
                    </a:stretch>
                  </pic:blipFill>
                  <pic:spPr bwMode="auto">
                    <a:xfrm>
                      <a:off x="0" y="0"/>
                      <a:ext cx="5067300" cy="1485855"/>
                    </a:xfrm>
                    <a:prstGeom prst="rect">
                      <a:avLst/>
                    </a:prstGeom>
                    <a:noFill/>
                    <a:ln w="9525">
                      <a:noFill/>
                      <a:headEnd/>
                      <a:tailEnd/>
                    </a:ln>
                  </pic:spPr>
                </pic:pic>
              </a:graphicData>
            </a:graphic>
          </wp:inline>
        </w:drawing>
      </w:r>
    </w:p>
    <w:p>
      <w:pPr>
        <w:pStyle w:val="Caption"/>
        <w:spacing w:before="60" w:after="160" w:line="276" w:lineRule="auto"/>
        <w:jc w:val="left"/>
      </w:pPr>
      <w:r>
        <w:rPr>
          <w:rFonts w:ascii="Times New Roman" w:hAnsi="Times New Roman" w:eastAsia="Times New Roman"/>
          <w:b/>
          <w:sz w:val="20"/>
        </w:rPr>
        <w:t>Figure S12. Sensitivity modules for C1Q-context interpretation.</w:t>
      </w:r>
      <w:r>
        <w:rPr>
          <w:rFonts w:ascii="Times New Roman" w:hAnsi="Times New Roman" w:eastAsia="Times New Roman"/>
          <w:b w:val="0"/>
          <w:sz w:val="20"/>
        </w:rPr>
        <w:t xml:space="preserve"> Left: dose-response relationship between C1Q quartiles and CD8 proxy activity. Middle: spatial scale dependency of local coupling and spatial autocorrelation across 50/100/200 radii. Right: specificity ranking of C1Q-axis genes versus non-C1Q controls based on survival-linked statistical signal.</w:t>
      </w:r>
    </w:p>
    <w:bookmarkEnd w:id="59"/>
    <w:bookmarkEnd w:id="60"/>
    <w:bookmarkStart w:id="75" w:name="supplementary-tables"/>
    <w:p>
      <w:pPr>
        <w:pStyle w:val="Heading1"/>
        <w:spacing w:line="276" w:lineRule="auto"/>
      </w:pPr>
      <w:r>
        <w:rPr>
          <w:rFonts w:ascii="Times New Roman" w:hAnsi="Times New Roman" w:eastAsia="Times New Roman"/>
          <w:b/>
          <w:sz w:val="28"/>
        </w:rPr>
        <w:t xml:space="preserve">Supplementary Tables</w:t>
      </w:r>
    </w:p>
    <w:p>
      <w:pPr>
        <w:pStyle w:val="FirstParagraph"/>
        <w:spacing w:line="276" w:lineRule="auto"/>
      </w:pPr>
      <w:r>
        <w:rPr>
          <w:rFonts w:ascii="Times New Roman" w:hAnsi="Times New Roman" w:eastAsia="Times New Roman"/>
          <w:b/>
          <w:bCs/>
          <w:sz w:val="22"/>
        </w:rPr>
        <w:t xml:space="preserve">Supplementary table index.</w:t>
      </w:r>
      <w:r>
        <w:rPr>
          <w:rFonts w:ascii="Times New Roman" w:hAnsi="Times New Roman" w:eastAsia="Times New Roman"/>
          <w:sz w:val="22"/>
        </w:rPr>
        <w:t xml:space="preserve"> </w:t>
      </w:r>
      <w:r>
        <w:rPr>
          <w:rFonts w:ascii="Times New Roman" w:hAnsi="Times New Roman" w:eastAsia="Times New Roman"/>
          <w:sz w:val="22"/>
        </w:rPr>
        <w:t xml:space="preserve">Table S1, retrospective score behavior on training, internal cross-validation, test, and external sets;</w:t>
      </w:r>
      <w:r>
        <w:rPr>
          <w:rFonts w:ascii="Times New Roman" w:hAnsi="Times New Roman" w:eastAsia="Times New Roman"/>
          <w:sz w:val="22"/>
        </w:rPr>
        <w:t xml:space="preserve"> </w:t>
      </w:r>
      <w:r>
        <w:rPr>
          <w:rFonts w:ascii="Times New Roman" w:hAnsi="Times New Roman" w:eastAsia="Times New Roman"/>
          <w:sz w:val="22"/>
        </w:rPr>
        <w:t xml:space="preserve">Table S2, functional enrichment terms associated with the 91-feature set;</w:t>
      </w:r>
      <w:r>
        <w:rPr>
          <w:rFonts w:ascii="Times New Roman" w:hAnsi="Times New Roman" w:eastAsia="Times New Roman"/>
          <w:sz w:val="22"/>
        </w:rPr>
        <w:t xml:space="preserve"> </w:t>
      </w:r>
      <w:r>
        <w:rPr>
          <w:rFonts w:ascii="Times New Roman" w:hAnsi="Times New Roman" w:eastAsia="Times New Roman"/>
          <w:sz w:val="22"/>
        </w:rPr>
        <w:t xml:space="preserve">Table S3, eQTL-driven regulatory-network edge list;</w:t>
      </w:r>
      <w:r>
        <w:rPr>
          <w:rFonts w:ascii="Times New Roman" w:hAnsi="Times New Roman" w:eastAsia="Times New Roman"/>
          <w:sz w:val="22"/>
        </w:rPr>
        <w:t xml:space="preserve"> </w:t>
      </w:r>
      <w:r>
        <w:rPr>
          <w:rFonts w:ascii="Times New Roman" w:hAnsi="Times New Roman" w:eastAsia="Times New Roman"/>
          <w:sz w:val="22"/>
        </w:rPr>
        <w:t xml:space="preserve">Table S4, stable features identified by nested cross-validation;</w:t>
      </w:r>
      <w:r>
        <w:rPr>
          <w:rFonts w:ascii="Times New Roman" w:hAnsi="Times New Roman" w:eastAsia="Times New Roman"/>
          <w:sz w:val="22"/>
        </w:rPr>
        <w:t xml:space="preserve"> </w:t>
      </w:r>
      <w:r>
        <w:rPr>
          <w:rFonts w:ascii="Times New Roman" w:hAnsi="Times New Roman" w:eastAsia="Times New Roman"/>
          <w:sz w:val="22"/>
        </w:rPr>
        <w:t xml:space="preserve">Table S5, spatial autocorrelation and hotspot analysis;</w:t>
      </w:r>
      <w:r>
        <w:rPr>
          <w:rFonts w:ascii="Times New Roman" w:hAnsi="Times New Roman" w:eastAsia="Times New Roman"/>
          <w:sz w:val="22"/>
        </w:rPr>
        <w:t xml:space="preserve"> </w:t>
      </w:r>
      <w:r>
        <w:rPr>
          <w:rFonts w:ascii="Times New Roman" w:hAnsi="Times New Roman" w:eastAsia="Times New Roman"/>
          <w:sz w:val="22"/>
        </w:rPr>
        <w:t xml:space="preserve">Table S6, hub-gene and immune-context correlations;</w:t>
      </w:r>
      <w:r>
        <w:rPr>
          <w:rFonts w:ascii="Times New Roman" w:hAnsi="Times New Roman" w:eastAsia="Times New Roman"/>
          <w:sz w:val="22"/>
        </w:rPr>
        <w:t xml:space="preserve"> </w:t>
      </w:r>
      <w:r>
        <w:rPr>
          <w:rFonts w:ascii="Times New Roman" w:hAnsi="Times New Roman" w:eastAsia="Times New Roman"/>
          <w:sz w:val="22"/>
        </w:rPr>
        <w:t xml:space="preserve">Table S7, Mendelian-randomization analysis results;</w:t>
      </w:r>
      <w:r>
        <w:rPr>
          <w:rFonts w:ascii="Times New Roman" w:hAnsi="Times New Roman" w:eastAsia="Times New Roman"/>
          <w:sz w:val="22"/>
        </w:rPr>
        <w:t xml:space="preserve"> </w:t>
      </w:r>
      <w:r>
        <w:rPr>
          <w:rFonts w:ascii="Times New Roman" w:hAnsi="Times New Roman" w:eastAsia="Times New Roman"/>
          <w:sz w:val="22"/>
        </w:rPr>
        <w:t xml:space="preserve">Table S8, TME-subtype differential-expression context;</w:t>
      </w:r>
      <w:r>
        <w:rPr>
          <w:rFonts w:ascii="Times New Roman" w:hAnsi="Times New Roman" w:eastAsia="Times New Roman"/>
          <w:sz w:val="22"/>
        </w:rPr>
        <w:t xml:space="preserve"> </w:t>
      </w:r>
      <w:r>
        <w:rPr>
          <w:rFonts w:ascii="Times New Roman" w:hAnsi="Times New Roman" w:eastAsia="Times New Roman"/>
          <w:sz w:val="22"/>
        </w:rPr>
        <w:t xml:space="preserve">Table S9, external-cohort covariate summaries;</w:t>
      </w:r>
      <w:r>
        <w:rPr>
          <w:rFonts w:ascii="Times New Roman" w:hAnsi="Times New Roman" w:eastAsia="Times New Roman"/>
          <w:sz w:val="22"/>
        </w:rPr>
        <w:t xml:space="preserve"> </w:t>
      </w:r>
      <w:r>
        <w:rPr>
          <w:rFonts w:ascii="Times New Roman" w:hAnsi="Times New Roman" w:eastAsia="Times New Roman"/>
          <w:sz w:val="22"/>
        </w:rPr>
        <w:t xml:space="preserve">Table S10, cell-type-specific eQTL reporting boundary and interpretation;</w:t>
      </w:r>
      <w:r>
        <w:rPr>
          <w:rFonts w:ascii="Times New Roman" w:hAnsi="Times New Roman" w:eastAsia="Times New Roman"/>
          <w:sz w:val="22"/>
        </w:rPr>
        <w:t xml:space="preserve"> </w:t>
      </w:r>
      <w:r>
        <w:rPr>
          <w:rFonts w:ascii="Times New Roman" w:hAnsi="Times New Roman" w:eastAsia="Times New Roman"/>
          <w:sz w:val="22"/>
        </w:rPr>
        <w:t xml:space="preserve">Table S11, MR diagnostic parameters for prioritized genes;</w:t>
      </w:r>
      <w:r>
        <w:rPr>
          <w:rFonts w:ascii="Times New Roman" w:hAnsi="Times New Roman" w:eastAsia="Times New Roman"/>
          <w:sz w:val="22"/>
        </w:rPr>
        <w:t xml:space="preserve"> </w:t>
      </w:r>
      <w:r>
        <w:rPr>
          <w:rFonts w:ascii="Times New Roman" w:hAnsi="Times New Roman" w:eastAsia="Times New Roman"/>
          <w:sz w:val="22"/>
        </w:rPr>
        <w:t xml:space="preserve">Table S12, spatial transcriptomics sample information; and</w:t>
      </w:r>
      <w:r>
        <w:rPr>
          <w:rFonts w:ascii="Times New Roman" w:hAnsi="Times New Roman" w:eastAsia="Times New Roman"/>
          <w:sz w:val="22"/>
        </w:rPr>
        <w:t xml:space="preserve"> </w:t>
      </w:r>
      <w:r>
        <w:rPr>
          <w:rFonts w:ascii="Times New Roman" w:hAnsi="Times New Roman" w:eastAsia="Times New Roman"/>
          <w:sz w:val="22"/>
        </w:rPr>
        <w:t xml:space="preserve">Table S13, multivariable Cox regression analysis of the retrospective score.</w:t>
      </w:r>
    </w:p>
    <w:bookmarkStart w:id="61" w:name="tab:Table_S1a"/>
    <w:p>
      <w:pPr>
        <w:pStyle w:val="Caption"/>
        <w:spacing w:before="120" w:after="80" w:line="276" w:lineRule="auto"/>
        <w:jc w:val="left"/>
      </w:pPr>
      <w:r>
        <w:rPr>
          <w:rFonts w:ascii="Times New Roman" w:hAnsi="Times New Roman" w:eastAsia="Times New Roman"/>
          <w:b/>
          <w:i w:val="0"/>
          <w:sz w:val="20"/>
        </w:rPr>
        <w:t>Table S1a. Apparent training-set metrics for audit transparency only</w:t>
      </w:r>
    </w:p>
    <w:tbl>
      <w:tblPr>
        <w:tblStyle w:val="Table"/>
        <w:tblW w:type="pct" w:w="5000"/>
        <w:tblLayout w:type="autofit"/>
        <w:tblLook w:firstRow="1" w:lastRow="0" w:firstColumn="0" w:lastColumn="0" w:noHBand="0" w:noVBand="0" w:val="0020"/>
        <w:tblCaption w:val="Table S1a (Continued)"/>
        <w:jc w:val="center"/>
        <w:tblBorders>
          <w:top w:val="single" w:sz="12" w:space="0" w:color="000000"/>
          <w:left w:val="nil"/>
          <w:bottom w:val="single" w:sz="12" w:space="0" w:color="000000"/>
          <w:right w:val="nil"/>
          <w:insideH w:val="nil"/>
          <w:insideV w:val="nil"/>
        </w:tblBorders>
      </w:tblPr>
      <w:tblGrid>
        <w:gridCol w:w="1131"/>
        <w:gridCol w:w="1131"/>
        <w:gridCol w:w="1131"/>
        <w:gridCol w:w="1131"/>
        <w:gridCol w:w="1131"/>
        <w:gridCol w:w="1131"/>
        <w:gridCol w:w="1131"/>
      </w:tblGrid>
      <w:tr>
        <w:trPr>
          <w:tblHeader w:val="on"/>
        </w:trPr>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bCs/>
                <w:sz w:val="16"/>
              </w:rPr>
              <w:t xml:space="preserve">Model</w:t>
            </w:r>
          </w:p>
        </w:tc>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bCs/>
                <w:sz w:val="16"/>
              </w:rPr>
              <w:t xml:space="preserve">Hyperparameters</w:t>
            </w:r>
          </w:p>
        </w:tc>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bCs/>
                <w:sz w:val="16"/>
              </w:rPr>
              <w:t xml:space="preserve">Acc</w:t>
            </w:r>
          </w:p>
        </w:tc>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bCs/>
                <w:sz w:val="16"/>
              </w:rPr>
              <w:t xml:space="preserve">Prec</w:t>
            </w:r>
          </w:p>
        </w:tc>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bCs/>
                <w:sz w:val="16"/>
              </w:rPr>
              <w:t xml:space="preserve">Rec</w:t>
            </w:r>
          </w:p>
        </w:tc>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bCs/>
                <w:sz w:val="16"/>
              </w:rPr>
              <w:t xml:space="preserve">F1</w:t>
            </w:r>
          </w:p>
        </w:tc>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bCs/>
                <w:sz w:val="16"/>
              </w:rPr>
              <w:t xml:space="preserve">AUC</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6"/>
              </w:rPr>
              <w:t xml:space="preserve">Logistic Regression</w:t>
            </w:r>
          </w:p>
        </w:tc>
        <w:tc>
          <w:tcPr>
            <w:tcBorders>
              <w:top w:val="nil"/>
              <w:left w:val="nil"/>
              <w:bottom w:val="nil"/>
              <w:right w:val="nil"/>
              <w:insideH w:val="nil"/>
              <w:insideV w:val="nil"/>
            </w:tcBorders>
            <w:vAlign w:val="center"/>
          </w:tcPr>
          <w:p>
            <w:pPr>
              <w:pStyle w:val="Compact"/>
              <w:spacing w:before="0" w:after="40"/>
            </w:pP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0.865</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0.842</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0.816</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0.829</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0.929</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6"/>
              </w:rPr>
              <w:t xml:space="preserve">Decision Tree</w:t>
            </w:r>
          </w:p>
        </w:tc>
        <w:tc>
          <w:tcPr>
            <w:tcBorders>
              <w:top w:val="nil"/>
              <w:left w:val="nil"/>
              <w:bottom w:val="nil"/>
              <w:right w:val="nil"/>
              <w:insideH w:val="nil"/>
              <w:insideV w:val="nil"/>
            </w:tcBorders>
            <w:vAlign w:val="center"/>
          </w:tcPr>
          <w:p>
            <w:pPr>
              <w:pStyle w:val="Compact"/>
              <w:spacing w:before="0" w:after="40"/>
            </w:pP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1.000</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1.000</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1.000</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1.000</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1.000</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6"/>
              </w:rPr>
              <w:t xml:space="preserve">Random Forest</w:t>
            </w:r>
          </w:p>
        </w:tc>
        <w:tc>
          <w:tcPr>
            <w:tcBorders>
              <w:top w:val="nil"/>
              <w:left w:val="nil"/>
              <w:bottom w:val="nil"/>
              <w:right w:val="nil"/>
              <w:insideH w:val="nil"/>
              <w:insideV w:val="nil"/>
            </w:tcBorders>
            <w:vAlign w:val="center"/>
          </w:tcPr>
          <w:p>
            <w:pPr>
              <w:pStyle w:val="Compact"/>
              <w:spacing w:before="0" w:after="40"/>
            </w:pP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1.000</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1.000</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1.000</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1.000</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1.000</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6"/>
              </w:rPr>
              <w:t xml:space="preserve">Gradient Boosting</w:t>
            </w:r>
          </w:p>
        </w:tc>
        <w:tc>
          <w:tcPr>
            <w:tcBorders>
              <w:top w:val="nil"/>
              <w:left w:val="nil"/>
              <w:bottom w:val="nil"/>
              <w:right w:val="nil"/>
              <w:insideH w:val="nil"/>
              <w:insideV w:val="nil"/>
            </w:tcBorders>
            <w:vAlign w:val="center"/>
          </w:tcPr>
          <w:p>
            <w:pPr>
              <w:pStyle w:val="Compact"/>
              <w:spacing w:before="0" w:after="40"/>
            </w:pP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1.000</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1.000</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1.000</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1.000</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1.000</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6"/>
              </w:rPr>
              <w:t xml:space="preserve">AdaBoost</w:t>
            </w:r>
          </w:p>
        </w:tc>
        <w:tc>
          <w:tcPr>
            <w:tcBorders>
              <w:top w:val="nil"/>
              <w:left w:val="nil"/>
              <w:bottom w:val="nil"/>
              <w:right w:val="nil"/>
              <w:insideH w:val="nil"/>
              <w:insideV w:val="nil"/>
            </w:tcBorders>
            <w:vAlign w:val="center"/>
          </w:tcPr>
          <w:p>
            <w:pPr>
              <w:pStyle w:val="Compact"/>
              <w:spacing w:before="0" w:after="40"/>
            </w:pP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1.000</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1.000</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1.000</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1.000</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1.000</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6"/>
              </w:rPr>
              <w:t xml:space="preserve">Soft Voting</w:t>
            </w:r>
          </w:p>
        </w:tc>
        <w:tc>
          <w:tcPr>
            <w:tcBorders>
              <w:top w:val="nil"/>
              <w:left w:val="nil"/>
              <w:bottom w:val="nil"/>
              <w:right w:val="nil"/>
              <w:insideH w:val="nil"/>
              <w:insideV w:val="nil"/>
            </w:tcBorders>
            <w:vAlign w:val="center"/>
          </w:tcPr>
          <w:p>
            <w:pPr>
              <w:pStyle w:val="Compact"/>
              <w:spacing w:before="0" w:after="40"/>
            </w:pP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0.925</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0.891</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0.864</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0.877</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0.962</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6"/>
              </w:rPr>
              <w:t xml:space="preserve">XGBoost</w:t>
            </w:r>
          </w:p>
        </w:tc>
        <w:tc>
          <w:tcPr>
            <w:tcBorders>
              <w:top w:val="nil"/>
              <w:left w:val="nil"/>
              <w:bottom w:val="nil"/>
              <w:right w:val="nil"/>
              <w:insideH w:val="nil"/>
              <w:insideV w:val="nil"/>
            </w:tcBorders>
            <w:vAlign w:val="center"/>
          </w:tcPr>
          <w:p>
            <w:pPr>
              <w:pStyle w:val="Compact"/>
              <w:spacing w:before="0" w:after="40"/>
            </w:pP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1.000</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1.000</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1.000</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1.000</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1.000</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6"/>
              </w:rPr>
              <w:t xml:space="preserve">SVM</w:t>
            </w:r>
          </w:p>
        </w:tc>
        <w:tc>
          <w:tcPr>
            <w:tcBorders>
              <w:top w:val="nil"/>
              <w:left w:val="nil"/>
              <w:bottom w:val="nil"/>
              <w:right w:val="nil"/>
              <w:insideH w:val="nil"/>
              <w:insideV w:val="nil"/>
            </w:tcBorders>
            <w:vAlign w:val="center"/>
          </w:tcPr>
          <w:p>
            <w:pPr>
              <w:pStyle w:val="Compact"/>
              <w:spacing w:before="0" w:after="40"/>
            </w:pP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0.853</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0.869</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0.745</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0.802</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0.958</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6"/>
              </w:rPr>
              <w:t xml:space="preserve">K-Nearest Neighbors</w:t>
            </w:r>
          </w:p>
        </w:tc>
        <w:tc>
          <w:tcPr>
            <w:tcBorders>
              <w:top w:val="nil"/>
              <w:left w:val="nil"/>
              <w:bottom w:val="nil"/>
              <w:right w:val="nil"/>
              <w:insideH w:val="nil"/>
              <w:insideV w:val="nil"/>
            </w:tcBorders>
            <w:vAlign w:val="center"/>
          </w:tcPr>
          <w:p>
            <w:pPr>
              <w:pStyle w:val="Compact"/>
              <w:spacing w:before="0" w:after="40"/>
            </w:pP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0.771</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0.678</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0.816</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0.741</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0.846</w:t>
            </w:r>
          </w:p>
        </w:tc>
      </w:tr>
      <w:tr>
        <w:tc>
          <w:tcPr>
            <w:tcBorders>
              <w:top w:val="nil"/>
              <w:left w:val="nil"/>
              <w:bottom w:val="single" w:sz="12" w:space="0" w:color="000000"/>
              <w:right w:val="nil"/>
              <w:insideH w:val="nil"/>
              <w:insideV w:val="nil"/>
            </w:tcBorders>
            <w:vAlign w:val="center"/>
          </w:tcPr>
          <w:p>
            <w:pPr>
              <w:pStyle w:val="Compact"/>
              <w:spacing w:before="0" w:after="40"/>
              <w:jc w:val="left"/>
            </w:pPr>
            <w:r>
              <w:rPr>
                <w:rFonts w:ascii="Times New Roman" w:hAnsi="Times New Roman" w:eastAsia="Times New Roman"/>
                <w:b w:val="0"/>
                <w:sz w:val="16"/>
              </w:rPr>
              <w:t xml:space="preserve">Naive Bayes</w:t>
            </w:r>
          </w:p>
        </w:tc>
        <w:tc>
          <w:tcPr>
            <w:tcBorders>
              <w:top w:val="nil"/>
              <w:left w:val="nil"/>
              <w:bottom w:val="single" w:sz="12" w:space="0" w:color="000000"/>
              <w:right w:val="nil"/>
              <w:insideH w:val="nil"/>
              <w:insideV w:val="nil"/>
            </w:tcBorders>
            <w:vAlign w:val="center"/>
          </w:tcPr>
          <w:p>
            <w:pPr>
              <w:pStyle w:val="Compact"/>
              <w:spacing w:before="0" w:after="40"/>
            </w:pPr>
          </w:p>
        </w:tc>
        <w:tc>
          <w:tcPr>
            <w:tcBorders>
              <w:top w:val="nil"/>
              <w:left w:val="nil"/>
              <w:bottom w:val="single" w:sz="12" w:space="0" w:color="000000"/>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0.702</w:t>
            </w:r>
          </w:p>
        </w:tc>
        <w:tc>
          <w:tcPr>
            <w:tcBorders>
              <w:top w:val="nil"/>
              <w:left w:val="nil"/>
              <w:bottom w:val="single" w:sz="12" w:space="0" w:color="000000"/>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0.602</w:t>
            </w:r>
          </w:p>
        </w:tc>
        <w:tc>
          <w:tcPr>
            <w:tcBorders>
              <w:top w:val="nil"/>
              <w:left w:val="nil"/>
              <w:bottom w:val="single" w:sz="12" w:space="0" w:color="000000"/>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0.755</w:t>
            </w:r>
          </w:p>
        </w:tc>
        <w:tc>
          <w:tcPr>
            <w:tcBorders>
              <w:top w:val="nil"/>
              <w:left w:val="nil"/>
              <w:bottom w:val="single" w:sz="12" w:space="0" w:color="000000"/>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0.670</w:t>
            </w:r>
          </w:p>
        </w:tc>
        <w:tc>
          <w:tcPr>
            <w:tcBorders>
              <w:top w:val="nil"/>
              <w:left w:val="nil"/>
              <w:bottom w:val="single" w:sz="12" w:space="0" w:color="000000"/>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0.788</w:t>
            </w:r>
          </w:p>
        </w:tc>
      </w:tr>
    </w:tbl>
    <w:p>
      <w:pPr>
        <w:spacing w:before="40" w:after="120" w:line="276" w:lineRule="auto"/>
        <w:jc w:val="left"/>
      </w:pPr>
      <w:r>
        <w:rPr>
          <w:rFonts w:ascii="Times New Roman" w:hAnsi="Times New Roman" w:eastAsia="Times New Roman"/>
          <w:b w:val="0"/>
          <w:i/>
          <w:sz w:val="18"/>
        </w:rPr>
        <w:t>Note: Apparent training-set metrics are shown for audit transparency only and are not used as evidence of clinical-readiness performance.</w:t>
      </w:r>
    </w:p>
    <w:bookmarkEnd w:id="61"/>
    <w:bookmarkStart w:id="62" w:name="tab:Table_S1b"/>
    <w:p>
      <w:pPr>
        <w:pStyle w:val="Caption"/>
        <w:spacing w:before="120" w:after="80" w:line="276" w:lineRule="auto"/>
        <w:jc w:val="left"/>
      </w:pPr>
      <w:r>
        <w:rPr>
          <w:rFonts w:ascii="Times New Roman" w:hAnsi="Times New Roman" w:eastAsia="Times New Roman"/>
          <w:b/>
          <w:i w:val="0"/>
          <w:sz w:val="20"/>
        </w:rPr>
        <w:t>Table S1b. Retrospective score-behavior metrics in internal cross-validation, test, and external traceability sets</w:t>
      </w:r>
    </w:p>
    <w:tbl>
      <w:tblPr>
        <w:tblStyle w:val="Table"/>
        <w:tblW w:type="pct" w:w="5000"/>
        <w:tblLayout w:type="autofit"/>
        <w:tblLook w:firstRow="1" w:lastRow="0" w:firstColumn="0" w:lastColumn="0" w:noHBand="0" w:noVBand="0" w:val="0020"/>
        <w:tblCaption w:val="Table S1b (Continued)"/>
        <w:jc w:val="center"/>
        <w:tblBorders>
          <w:top w:val="single" w:sz="12" w:space="0" w:color="000000"/>
          <w:left w:val="nil"/>
          <w:bottom w:val="single" w:sz="12" w:space="0" w:color="000000"/>
          <w:right w:val="nil"/>
          <w:insideH w:val="nil"/>
          <w:insideV w:val="nil"/>
        </w:tblBorders>
      </w:tblPr>
      <w:tblGrid>
        <w:gridCol w:w="660"/>
        <w:gridCol w:w="660"/>
        <w:gridCol w:w="660"/>
        <w:gridCol w:w="660"/>
        <w:gridCol w:w="660"/>
        <w:gridCol w:w="660"/>
        <w:gridCol w:w="660"/>
        <w:gridCol w:w="660"/>
        <w:gridCol w:w="660"/>
        <w:gridCol w:w="660"/>
        <w:gridCol w:w="660"/>
        <w:gridCol w:w="660"/>
      </w:tblGrid>
      <w:tr>
        <w:trPr>
          <w:tblHeader w:val="on"/>
        </w:trPr>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p>
        </w:tc>
        <w:tc>
          <w:tcPr>
            <w:gridSpan w:val="5"/>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bCs/>
                <w:sz w:val="16"/>
              </w:rPr>
              <w:t xml:space="preserve">Internal CV Set</w:t>
            </w:r>
          </w:p>
        </w:tc>
        <w:tc>
          <w:tcPr>
            <w:gridSpan w:val="5"/>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bCs/>
                <w:sz w:val="16"/>
              </w:rPr>
              <w:t xml:space="preserve">Test Set</w:t>
            </w:r>
          </w:p>
        </w:tc>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bCs/>
                <w:sz w:val="16"/>
              </w:rPr>
              <w:t xml:space="preserve">Ext.</w:t>
            </w:r>
          </w:p>
        </w:tc>
      </w:tr>
      <w:tr>
        <w:tc>
          <w:tcPr>
            <w:tcBorders>
              <w:top w:val="nil"/>
              <w:left w:val="nil"/>
              <w:bottom w:val="nil" w:sz="8" w:space="0" w:color="000000"/>
              <w:right w:val="nil"/>
              <w:insideH w:val="nil"/>
              <w:insideV w:val="nil"/>
            </w:tcBorders>
            <w:vAlign w:val="center"/>
          </w:tcPr>
          <w:p>
            <w:pPr>
              <w:spacing w:before="0" w:after="40"/>
              <w:jc w:val="left"/>
            </w:pPr>
            <w:r>
              <w:rPr>
                <w:rFonts w:ascii="Times New Roman" w:hAnsi="Times New Roman" w:eastAsia="Times New Roman"/>
                <w:b w:val="0"/>
                <w:sz w:val="16"/>
              </w:rPr>
            </w:r>
            <w:r>
              <w:rPr>
                <w:rFonts w:ascii="Times New Roman" w:hAnsi="Times New Roman" w:eastAsia="Times New Roman"/>
                <w:b w:val="0"/>
                <w:i w:val="0"/>
                <w:sz w:val="16"/>
              </w:rPr>
              <w:t>Model</w:t>
            </w:r>
          </w:p>
        </w:tc>
        <w:tc>
          <w:tcPr>
            <w:tcBorders>
              <w:top w:val="nil"/>
              <w:left w:val="nil"/>
              <w:bottom w:val="nil" w:sz="8" w:space="0" w:color="000000"/>
              <w:right w:val="nil"/>
              <w:insideH w:val="nil"/>
              <w:insideV w:val="nil"/>
            </w:tcBorders>
            <w:vAlign w:val="center"/>
          </w:tcPr>
          <w:p>
            <w:pPr>
              <w:spacing w:before="0" w:after="40"/>
              <w:jc w:val="left"/>
            </w:pPr>
            <w:r>
              <w:rPr>
                <w:rFonts w:ascii="Times New Roman" w:hAnsi="Times New Roman" w:eastAsia="Times New Roman"/>
                <w:b w:val="0"/>
                <w:sz w:val="16"/>
              </w:rPr>
            </w:r>
            <w:r>
              <w:rPr>
                <w:rFonts w:ascii="Times New Roman" w:hAnsi="Times New Roman" w:eastAsia="Times New Roman"/>
                <w:b w:val="0"/>
                <w:i w:val="0"/>
                <w:sz w:val="16"/>
              </w:rPr>
              <w:t>Acc</w:t>
            </w:r>
          </w:p>
        </w:tc>
        <w:tc>
          <w:tcPr>
            <w:tcBorders>
              <w:top w:val="nil"/>
              <w:left w:val="nil"/>
              <w:bottom w:val="nil" w:sz="8" w:space="0" w:color="000000"/>
              <w:right w:val="nil"/>
              <w:insideH w:val="nil"/>
              <w:insideV w:val="nil"/>
            </w:tcBorders>
            <w:vAlign w:val="center"/>
          </w:tcPr>
          <w:p>
            <w:pPr>
              <w:spacing w:before="0" w:after="40"/>
              <w:jc w:val="left"/>
            </w:pPr>
            <w:r>
              <w:rPr>
                <w:rFonts w:ascii="Times New Roman" w:hAnsi="Times New Roman" w:eastAsia="Times New Roman"/>
                <w:b w:val="0"/>
                <w:sz w:val="16"/>
              </w:rPr>
            </w:r>
            <w:r>
              <w:rPr>
                <w:rFonts w:ascii="Times New Roman" w:hAnsi="Times New Roman" w:eastAsia="Times New Roman"/>
                <w:b w:val="0"/>
                <w:i w:val="0"/>
                <w:sz w:val="16"/>
              </w:rPr>
              <w:t>Prec</w:t>
            </w:r>
          </w:p>
        </w:tc>
        <w:tc>
          <w:tcPr>
            <w:tcBorders>
              <w:top w:val="nil"/>
              <w:left w:val="nil"/>
              <w:bottom w:val="nil" w:sz="8" w:space="0" w:color="000000"/>
              <w:right w:val="nil"/>
              <w:insideH w:val="nil"/>
              <w:insideV w:val="nil"/>
            </w:tcBorders>
            <w:vAlign w:val="center"/>
          </w:tcPr>
          <w:p>
            <w:pPr>
              <w:spacing w:before="0" w:after="40"/>
              <w:jc w:val="left"/>
            </w:pPr>
            <w:r>
              <w:rPr>
                <w:rFonts w:ascii="Times New Roman" w:hAnsi="Times New Roman" w:eastAsia="Times New Roman"/>
                <w:b w:val="0"/>
                <w:sz w:val="16"/>
              </w:rPr>
            </w:r>
            <w:r>
              <w:rPr>
                <w:rFonts w:ascii="Times New Roman" w:hAnsi="Times New Roman" w:eastAsia="Times New Roman"/>
                <w:b w:val="0"/>
                <w:i w:val="0"/>
                <w:sz w:val="16"/>
              </w:rPr>
              <w:t>Rec</w:t>
            </w:r>
          </w:p>
        </w:tc>
        <w:tc>
          <w:tcPr>
            <w:tcBorders>
              <w:top w:val="nil"/>
              <w:left w:val="nil"/>
              <w:bottom w:val="nil" w:sz="8" w:space="0" w:color="000000"/>
              <w:right w:val="nil"/>
              <w:insideH w:val="nil"/>
              <w:insideV w:val="nil"/>
            </w:tcBorders>
            <w:vAlign w:val="center"/>
          </w:tcPr>
          <w:p>
            <w:pPr>
              <w:spacing w:before="0" w:after="40"/>
              <w:jc w:val="left"/>
            </w:pPr>
            <w:r>
              <w:rPr>
                <w:rFonts w:ascii="Times New Roman" w:hAnsi="Times New Roman" w:eastAsia="Times New Roman"/>
                <w:b w:val="0"/>
                <w:sz w:val="16"/>
              </w:rPr>
            </w:r>
            <w:r>
              <w:rPr>
                <w:rFonts w:ascii="Times New Roman" w:hAnsi="Times New Roman" w:eastAsia="Times New Roman"/>
                <w:b w:val="0"/>
                <w:i w:val="0"/>
                <w:sz w:val="16"/>
              </w:rPr>
              <w:t>F1</w:t>
            </w:r>
          </w:p>
        </w:tc>
        <w:tc>
          <w:tcPr>
            <w:tcBorders>
              <w:top w:val="nil"/>
              <w:left w:val="nil"/>
              <w:bottom w:val="nil" w:sz="8" w:space="0" w:color="000000"/>
              <w:right w:val="nil"/>
              <w:insideH w:val="nil"/>
              <w:insideV w:val="nil"/>
            </w:tcBorders>
            <w:vAlign w:val="center"/>
          </w:tcPr>
          <w:p>
            <w:pPr>
              <w:spacing w:before="0" w:after="40"/>
              <w:jc w:val="left"/>
            </w:pPr>
            <w:r>
              <w:rPr>
                <w:rFonts w:ascii="Times New Roman" w:hAnsi="Times New Roman" w:eastAsia="Times New Roman"/>
                <w:b w:val="0"/>
                <w:sz w:val="16"/>
              </w:rPr>
            </w:r>
            <w:r>
              <w:rPr>
                <w:rFonts w:ascii="Times New Roman" w:hAnsi="Times New Roman" w:eastAsia="Times New Roman"/>
                <w:b w:val="0"/>
                <w:i w:val="0"/>
                <w:sz w:val="16"/>
              </w:rPr>
              <w:t>AUC</w:t>
            </w:r>
          </w:p>
        </w:tc>
        <w:tc>
          <w:tcPr>
            <w:tcBorders>
              <w:top w:val="nil"/>
              <w:left w:val="nil"/>
              <w:bottom w:val="nil" w:sz="8" w:space="0" w:color="000000"/>
              <w:right w:val="nil"/>
              <w:insideH w:val="nil"/>
              <w:insideV w:val="nil"/>
            </w:tcBorders>
            <w:vAlign w:val="center"/>
          </w:tcPr>
          <w:p>
            <w:pPr>
              <w:spacing w:before="0" w:after="40"/>
              <w:jc w:val="left"/>
            </w:pPr>
            <w:r>
              <w:rPr>
                <w:rFonts w:ascii="Times New Roman" w:hAnsi="Times New Roman" w:eastAsia="Times New Roman"/>
                <w:b w:val="0"/>
                <w:sz w:val="16"/>
              </w:rPr>
            </w:r>
            <w:r>
              <w:rPr>
                <w:rFonts w:ascii="Times New Roman" w:hAnsi="Times New Roman" w:eastAsia="Times New Roman"/>
                <w:b w:val="0"/>
                <w:i w:val="0"/>
                <w:sz w:val="16"/>
              </w:rPr>
              <w:t>Acc</w:t>
            </w:r>
          </w:p>
        </w:tc>
        <w:tc>
          <w:tcPr>
            <w:tcBorders>
              <w:top w:val="nil"/>
              <w:left w:val="nil"/>
              <w:bottom w:val="nil" w:sz="8" w:space="0" w:color="000000"/>
              <w:right w:val="nil"/>
              <w:insideH w:val="nil"/>
              <w:insideV w:val="nil"/>
            </w:tcBorders>
            <w:vAlign w:val="center"/>
          </w:tcPr>
          <w:p>
            <w:pPr>
              <w:spacing w:before="0" w:after="40"/>
              <w:jc w:val="left"/>
            </w:pPr>
            <w:r>
              <w:rPr>
                <w:rFonts w:ascii="Times New Roman" w:hAnsi="Times New Roman" w:eastAsia="Times New Roman"/>
                <w:b w:val="0"/>
                <w:sz w:val="16"/>
              </w:rPr>
            </w:r>
            <w:r>
              <w:rPr>
                <w:rFonts w:ascii="Times New Roman" w:hAnsi="Times New Roman" w:eastAsia="Times New Roman"/>
                <w:b w:val="0"/>
                <w:i w:val="0"/>
                <w:sz w:val="16"/>
              </w:rPr>
              <w:t>Prec</w:t>
            </w:r>
          </w:p>
        </w:tc>
        <w:tc>
          <w:tcPr>
            <w:tcBorders>
              <w:top w:val="nil"/>
              <w:left w:val="nil"/>
              <w:bottom w:val="nil" w:sz="8" w:space="0" w:color="000000"/>
              <w:right w:val="nil"/>
              <w:insideH w:val="nil"/>
              <w:insideV w:val="nil"/>
            </w:tcBorders>
            <w:vAlign w:val="center"/>
          </w:tcPr>
          <w:p>
            <w:pPr>
              <w:spacing w:before="0" w:after="40"/>
              <w:jc w:val="left"/>
            </w:pPr>
            <w:r>
              <w:rPr>
                <w:rFonts w:ascii="Times New Roman" w:hAnsi="Times New Roman" w:eastAsia="Times New Roman"/>
                <w:b w:val="0"/>
                <w:sz w:val="16"/>
              </w:rPr>
            </w:r>
            <w:r>
              <w:rPr>
                <w:rFonts w:ascii="Times New Roman" w:hAnsi="Times New Roman" w:eastAsia="Times New Roman"/>
                <w:b w:val="0"/>
                <w:i w:val="0"/>
                <w:sz w:val="16"/>
              </w:rPr>
              <w:t>Rec</w:t>
            </w:r>
          </w:p>
        </w:tc>
        <w:tc>
          <w:tcPr>
            <w:tcBorders>
              <w:top w:val="nil"/>
              <w:left w:val="nil"/>
              <w:bottom w:val="nil" w:sz="8" w:space="0" w:color="000000"/>
              <w:right w:val="nil"/>
              <w:insideH w:val="nil"/>
              <w:insideV w:val="nil"/>
            </w:tcBorders>
            <w:vAlign w:val="center"/>
          </w:tcPr>
          <w:p>
            <w:pPr>
              <w:spacing w:before="0" w:after="40"/>
              <w:jc w:val="left"/>
            </w:pPr>
            <w:r>
              <w:rPr>
                <w:rFonts w:ascii="Times New Roman" w:hAnsi="Times New Roman" w:eastAsia="Times New Roman"/>
                <w:b w:val="0"/>
                <w:sz w:val="16"/>
              </w:rPr>
            </w:r>
            <w:r>
              <w:rPr>
                <w:rFonts w:ascii="Times New Roman" w:hAnsi="Times New Roman" w:eastAsia="Times New Roman"/>
                <w:b w:val="0"/>
                <w:i w:val="0"/>
                <w:sz w:val="16"/>
              </w:rPr>
              <w:t>F1</w:t>
            </w:r>
          </w:p>
        </w:tc>
        <w:tc>
          <w:tcPr>
            <w:tcBorders>
              <w:top w:val="nil"/>
              <w:left w:val="nil"/>
              <w:bottom w:val="nil" w:sz="8" w:space="0" w:color="000000"/>
              <w:right w:val="nil"/>
              <w:insideH w:val="nil"/>
              <w:insideV w:val="nil"/>
            </w:tcBorders>
            <w:vAlign w:val="center"/>
          </w:tcPr>
          <w:p>
            <w:pPr>
              <w:spacing w:before="0" w:after="40"/>
              <w:jc w:val="left"/>
            </w:pPr>
            <w:r>
              <w:rPr>
                <w:rFonts w:ascii="Times New Roman" w:hAnsi="Times New Roman" w:eastAsia="Times New Roman"/>
                <w:b w:val="0"/>
                <w:sz w:val="16"/>
              </w:rPr>
            </w:r>
            <w:r>
              <w:rPr>
                <w:rFonts w:ascii="Times New Roman" w:hAnsi="Times New Roman" w:eastAsia="Times New Roman"/>
                <w:b w:val="0"/>
                <w:i w:val="0"/>
                <w:sz w:val="16"/>
              </w:rPr>
              <w:t>AUC</w:t>
            </w:r>
          </w:p>
        </w:tc>
        <w:tc>
          <w:tcPr>
            <w:tcBorders>
              <w:top w:val="nil"/>
              <w:left w:val="nil"/>
              <w:bottom w:val="nil" w:sz="8" w:space="0" w:color="000000"/>
              <w:right w:val="nil"/>
              <w:insideH w:val="nil"/>
              <w:insideV w:val="nil"/>
            </w:tcBorders>
            <w:vAlign w:val="center"/>
          </w:tcPr>
          <w:p>
            <w:pPr>
              <w:spacing w:before="0" w:after="40"/>
              <w:jc w:val="left"/>
            </w:pPr>
            <w:r>
              <w:rPr>
                <w:rFonts w:ascii="Times New Roman" w:hAnsi="Times New Roman" w:eastAsia="Times New Roman"/>
                <w:b w:val="0"/>
                <w:sz w:val="16"/>
              </w:rPr>
            </w:r>
            <w:r>
              <w:rPr>
                <w:rFonts w:ascii="Times New Roman" w:hAnsi="Times New Roman" w:eastAsia="Times New Roman"/>
                <w:b w:val="0"/>
                <w:i w:val="0"/>
                <w:sz w:val="16"/>
              </w:rPr>
              <w:t>AUC</w:t>
            </w:r>
          </w:p>
        </w:tc>
      </w:tr>
      <w:tr>
        <w:tc>
          <w:tcPr>
            <w:tcBorders>
              <w:top w:val="nil"/>
              <w:left w:val="nil"/>
              <w:bottom w:val="nil"/>
              <w:right w:val="nil"/>
              <w:insideH w:val="nil"/>
              <w:insideV w:val="nil"/>
            </w:tcBorders>
            <w:vAlign w:val="center"/>
          </w:tcPr>
          <w:p>
            <w:pPr>
              <w:pStyle w:val="Compact"/>
              <w:spacing w:before="0" w:after="40"/>
            </w:pPr>
          </w:p>
        </w:tc>
        <w:tc>
          <w:tcPr>
            <w:gridSpan w:val="5"/>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bCs/>
                <w:sz w:val="16"/>
              </w:rPr>
              <w:t xml:space="preserve">Internal CV Set</w:t>
            </w:r>
          </w:p>
        </w:tc>
        <w:tc>
          <w:tcPr>
            <w:gridSpan w:val="5"/>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bCs/>
                <w:sz w:val="16"/>
              </w:rPr>
              <w:t xml:space="preserve">Test Set</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bCs/>
                <w:sz w:val="16"/>
              </w:rPr>
              <w:t xml:space="preserve">Ext.</w:t>
            </w:r>
          </w:p>
        </w:tc>
      </w:tr>
      <w:tr>
        <w:tc>
          <w:tcPr>
            <w:tcBorders>
              <w:top w:val="nil"/>
              <w:left w:val="nil"/>
              <w:bottom w:val="nil"/>
              <w:right w:val="nil"/>
              <w:insideH w:val="nil"/>
              <w:insideV w:val="nil"/>
            </w:tcBorders>
            <w:vAlign w:val="center"/>
          </w:tcPr>
          <w:p>
            <w:pPr>
              <w:spacing w:before="0" w:after="40"/>
              <w:jc w:val="left"/>
            </w:pPr>
            <w:r>
              <w:rPr>
                <w:rFonts w:ascii="Times New Roman" w:hAnsi="Times New Roman" w:eastAsia="Times New Roman"/>
                <w:b w:val="0"/>
                <w:sz w:val="16"/>
              </w:rPr>
            </w:r>
            <w:r>
              <w:rPr>
                <w:rFonts w:ascii="Times New Roman" w:hAnsi="Times New Roman" w:eastAsia="Times New Roman"/>
                <w:b w:val="0"/>
                <w:i w:val="0"/>
                <w:sz w:val="16"/>
              </w:rPr>
              <w:t>12-12 Model</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Acc</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Prec</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Rec</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F1</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AUC</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Acc</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Prec</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Rec</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F1</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AUC</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AUC</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6"/>
              </w:rPr>
              <w:t xml:space="preserve">Logistic Regression</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0.531</w:t>
            </w:r>
            <m:oMath>
              <m:r>
                <m:rPr>
                  <m:sty m:val="p"/>
                </m:rPr>
                <m:t>±</m:t>
              </m:r>
            </m:oMath>
            <w:r>
              <w:rPr>
                <w:rFonts w:ascii="Times New Roman" w:hAnsi="Times New Roman" w:eastAsia="Times New Roman"/>
                <w:b w:val="0"/>
                <w:sz w:val="16"/>
              </w:rPr>
              <w:t xml:space="preserve">0.08</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0.415</w:t>
            </w:r>
            <m:oMath>
              <m:r>
                <m:rPr>
                  <m:sty m:val="p"/>
                </m:rPr>
                <m:t>±</m:t>
              </m:r>
            </m:oMath>
            <w:r>
              <w:rPr>
                <w:rFonts w:ascii="Times New Roman" w:hAnsi="Times New Roman" w:eastAsia="Times New Roman"/>
                <w:b w:val="0"/>
                <w:sz w:val="16"/>
              </w:rPr>
              <w:t xml:space="preserve">0.09</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0.447</w:t>
            </w:r>
            <m:oMath>
              <m:r>
                <m:rPr>
                  <m:sty m:val="p"/>
                </m:rPr>
                <m:t>±</m:t>
              </m:r>
            </m:oMath>
            <w:r>
              <w:rPr>
                <w:rFonts w:ascii="Times New Roman" w:hAnsi="Times New Roman" w:eastAsia="Times New Roman"/>
                <w:b w:val="0"/>
                <w:sz w:val="16"/>
              </w:rPr>
              <w:t xml:space="preserve">0.14</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0.426</w:t>
            </w:r>
            <m:oMath>
              <m:r>
                <m:rPr>
                  <m:sty m:val="p"/>
                </m:rPr>
                <m:t>±</m:t>
              </m:r>
            </m:oMath>
            <w:r>
              <w:rPr>
                <w:rFonts w:ascii="Times New Roman" w:hAnsi="Times New Roman" w:eastAsia="Times New Roman"/>
                <w:b w:val="0"/>
                <w:sz w:val="16"/>
              </w:rPr>
              <w:t xml:space="preserve">0.11</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0.592</w:t>
            </w:r>
            <m:oMath>
              <m:r>
                <m:rPr>
                  <m:sty m:val="p"/>
                </m:rPr>
                <m:t>±</m:t>
              </m:r>
            </m:oMath>
            <w:r>
              <w:rPr>
                <w:rFonts w:ascii="Times New Roman" w:hAnsi="Times New Roman" w:eastAsia="Times New Roman"/>
                <w:b w:val="0"/>
                <w:sz w:val="16"/>
              </w:rPr>
              <w:t xml:space="preserve">0.06</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0.705</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0.617</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0.690</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0.652</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0.741</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6"/>
              </w:rPr>
              <w:t xml:space="preserve">Decision Tree</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0.551</w:t>
            </w:r>
            <m:oMath>
              <m:r>
                <m:rPr>
                  <m:sty m:val="p"/>
                </m:rPr>
                <m:t>±</m:t>
              </m:r>
            </m:oMath>
            <w:r>
              <w:rPr>
                <w:rFonts w:ascii="Times New Roman" w:hAnsi="Times New Roman" w:eastAsia="Times New Roman"/>
                <w:b w:val="0"/>
                <w:sz w:val="16"/>
              </w:rPr>
              <w:t xml:space="preserve">0.06</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0.438</w:t>
            </w:r>
            <m:oMath>
              <m:r>
                <m:rPr>
                  <m:sty m:val="p"/>
                </m:rPr>
                <m:t>±</m:t>
              </m:r>
            </m:oMath>
            <w:r>
              <w:rPr>
                <w:rFonts w:ascii="Times New Roman" w:hAnsi="Times New Roman" w:eastAsia="Times New Roman"/>
                <w:b w:val="0"/>
                <w:sz w:val="16"/>
              </w:rPr>
              <w:t xml:space="preserve">0.06</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0.448</w:t>
            </w:r>
            <m:oMath>
              <m:r>
                <m:rPr>
                  <m:sty m:val="p"/>
                </m:rPr>
                <m:t>±</m:t>
              </m:r>
            </m:oMath>
            <w:r>
              <w:rPr>
                <w:rFonts w:ascii="Times New Roman" w:hAnsi="Times New Roman" w:eastAsia="Times New Roman"/>
                <w:b w:val="0"/>
                <w:sz w:val="16"/>
              </w:rPr>
              <w:t xml:space="preserve">0.14</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0.433</w:t>
            </w:r>
            <m:oMath>
              <m:r>
                <m:rPr>
                  <m:sty m:val="p"/>
                </m:rPr>
                <m:t>±</m:t>
              </m:r>
            </m:oMath>
            <w:r>
              <w:rPr>
                <w:rFonts w:ascii="Times New Roman" w:hAnsi="Times New Roman" w:eastAsia="Times New Roman"/>
                <w:b w:val="0"/>
                <w:sz w:val="16"/>
              </w:rPr>
              <w:t xml:space="preserve">0.10</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0.533</w:t>
            </w:r>
            <m:oMath>
              <m:r>
                <m:rPr>
                  <m:sty m:val="p"/>
                </m:rPr>
                <m:t>±</m:t>
              </m:r>
            </m:oMath>
            <w:r>
              <w:rPr>
                <w:rFonts w:ascii="Times New Roman" w:hAnsi="Times New Roman" w:eastAsia="Times New Roman"/>
                <w:b w:val="0"/>
                <w:sz w:val="16"/>
              </w:rPr>
              <w:t xml:space="preserve">0.05</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0.543</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0.435</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0.476</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0.455</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0.532</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6"/>
              </w:rPr>
              <w:t xml:space="preserve">Random Forest</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0.678</w:t>
            </w:r>
            <m:oMath>
              <m:r>
                <m:rPr>
                  <m:sty m:val="p"/>
                </m:rPr>
                <m:t>±</m:t>
              </m:r>
            </m:oMath>
            <w:r>
              <w:rPr>
                <w:rFonts w:ascii="Times New Roman" w:hAnsi="Times New Roman" w:eastAsia="Times New Roman"/>
                <w:b w:val="0"/>
                <w:sz w:val="16"/>
              </w:rPr>
              <w:t xml:space="preserve">0.03</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0.611</w:t>
            </w:r>
            <m:oMath>
              <m:r>
                <m:rPr>
                  <m:sty m:val="p"/>
                </m:rPr>
                <m:t>±</m:t>
              </m:r>
            </m:oMath>
            <w:r>
              <w:rPr>
                <w:rFonts w:ascii="Times New Roman" w:hAnsi="Times New Roman" w:eastAsia="Times New Roman"/>
                <w:b w:val="0"/>
                <w:sz w:val="16"/>
              </w:rPr>
              <w:t xml:space="preserve">0.05</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0.540</w:t>
            </w:r>
            <m:oMath>
              <m:r>
                <m:rPr>
                  <m:sty m:val="p"/>
                </m:rPr>
                <m:t>±</m:t>
              </m:r>
            </m:oMath>
            <w:r>
              <w:rPr>
                <w:rFonts w:ascii="Times New Roman" w:hAnsi="Times New Roman" w:eastAsia="Times New Roman"/>
                <w:b w:val="0"/>
                <w:sz w:val="16"/>
              </w:rPr>
              <w:t xml:space="preserve">0.04</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0.573</w:t>
            </w:r>
            <m:oMath>
              <m:r>
                <m:rPr>
                  <m:sty m:val="p"/>
                </m:rPr>
                <m:t>±</m:t>
              </m:r>
            </m:oMath>
            <w:r>
              <w:rPr>
                <w:rFonts w:ascii="Times New Roman" w:hAnsi="Times New Roman" w:eastAsia="Times New Roman"/>
                <w:b w:val="0"/>
                <w:sz w:val="16"/>
              </w:rPr>
              <w:t xml:space="preserve">0.04</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0.720</w:t>
            </w:r>
            <m:oMath>
              <m:r>
                <m:rPr>
                  <m:sty m:val="p"/>
                </m:rPr>
                <m:t>±</m:t>
              </m:r>
            </m:oMath>
            <w:r>
              <w:rPr>
                <w:rFonts w:ascii="Times New Roman" w:hAnsi="Times New Roman" w:eastAsia="Times New Roman"/>
                <w:b w:val="0"/>
                <w:sz w:val="16"/>
              </w:rPr>
              <w:t xml:space="preserve">0.02</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0.657</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0.607</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0.405</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0.486</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0.701</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6"/>
              </w:rPr>
              <w:t xml:space="preserve">Gradient Boosting</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0.674</w:t>
            </w:r>
            <m:oMath>
              <m:r>
                <m:rPr>
                  <m:sty m:val="p"/>
                </m:rPr>
                <m:t>±</m:t>
              </m:r>
            </m:oMath>
            <w:r>
              <w:rPr>
                <w:rFonts w:ascii="Times New Roman" w:hAnsi="Times New Roman" w:eastAsia="Times New Roman"/>
                <w:b w:val="0"/>
                <w:sz w:val="16"/>
              </w:rPr>
              <w:t xml:space="preserve">0.03</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0.614</w:t>
            </w:r>
            <m:oMath>
              <m:r>
                <m:rPr>
                  <m:sty m:val="p"/>
                </m:rPr>
                <m:t>±</m:t>
              </m:r>
            </m:oMath>
            <w:r>
              <w:rPr>
                <w:rFonts w:ascii="Times New Roman" w:hAnsi="Times New Roman" w:eastAsia="Times New Roman"/>
                <w:b w:val="0"/>
                <w:sz w:val="16"/>
              </w:rPr>
              <w:t xml:space="preserve">0.05</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0.521</w:t>
            </w:r>
            <m:oMath>
              <m:r>
                <m:rPr>
                  <m:sty m:val="p"/>
                </m:rPr>
                <m:t>±</m:t>
              </m:r>
            </m:oMath>
            <w:r>
              <w:rPr>
                <w:rFonts w:ascii="Times New Roman" w:hAnsi="Times New Roman" w:eastAsia="Times New Roman"/>
                <w:b w:val="0"/>
                <w:sz w:val="16"/>
              </w:rPr>
              <w:t xml:space="preserve">0.08</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0.559</w:t>
            </w:r>
            <m:oMath>
              <m:r>
                <m:rPr>
                  <m:sty m:val="p"/>
                </m:rPr>
                <m:t>±</m:t>
              </m:r>
            </m:oMath>
            <w:r>
              <w:rPr>
                <w:rFonts w:ascii="Times New Roman" w:hAnsi="Times New Roman" w:eastAsia="Times New Roman"/>
                <w:b w:val="0"/>
                <w:sz w:val="16"/>
              </w:rPr>
              <w:t xml:space="preserve">0.05</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0.682</w:t>
            </w:r>
            <m:oMath>
              <m:r>
                <m:rPr>
                  <m:sty m:val="p"/>
                </m:rPr>
                <m:t>±</m:t>
              </m:r>
            </m:oMath>
            <w:r>
              <w:rPr>
                <w:rFonts w:ascii="Times New Roman" w:hAnsi="Times New Roman" w:eastAsia="Times New Roman"/>
                <w:b w:val="0"/>
                <w:sz w:val="16"/>
              </w:rPr>
              <w:t xml:space="preserve">0.01</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0.657</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0.594</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0.452</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0.514</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0.655</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6"/>
              </w:rPr>
              <w:t xml:space="preserve">AdaBoost</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0.657</w:t>
            </w:r>
            <m:oMath>
              <m:r>
                <m:rPr>
                  <m:sty m:val="p"/>
                </m:rPr>
                <m:t>±</m:t>
              </m:r>
            </m:oMath>
            <w:r>
              <w:rPr>
                <w:rFonts w:ascii="Times New Roman" w:hAnsi="Times New Roman" w:eastAsia="Times New Roman"/>
                <w:b w:val="0"/>
                <w:sz w:val="16"/>
              </w:rPr>
              <w:t xml:space="preserve">0.04</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0.580</w:t>
            </w:r>
            <m:oMath>
              <m:r>
                <m:rPr>
                  <m:sty m:val="p"/>
                </m:rPr>
                <m:t>±</m:t>
              </m:r>
            </m:oMath>
            <w:r>
              <w:rPr>
                <w:rFonts w:ascii="Times New Roman" w:hAnsi="Times New Roman" w:eastAsia="Times New Roman"/>
                <w:b w:val="0"/>
                <w:sz w:val="16"/>
              </w:rPr>
              <w:t xml:space="preserve">0.05</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0.550</w:t>
            </w:r>
            <m:oMath>
              <m:r>
                <m:rPr>
                  <m:sty m:val="p"/>
                </m:rPr>
                <m:t>±</m:t>
              </m:r>
            </m:oMath>
            <w:r>
              <w:rPr>
                <w:rFonts w:ascii="Times New Roman" w:hAnsi="Times New Roman" w:eastAsia="Times New Roman"/>
                <w:b w:val="0"/>
                <w:sz w:val="16"/>
              </w:rPr>
              <w:t xml:space="preserve">0.10</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0.558</w:t>
            </w:r>
            <m:oMath>
              <m:r>
                <m:rPr>
                  <m:sty m:val="p"/>
                </m:rPr>
                <m:t>±</m:t>
              </m:r>
            </m:oMath>
            <w:r>
              <w:rPr>
                <w:rFonts w:ascii="Times New Roman" w:hAnsi="Times New Roman" w:eastAsia="Times New Roman"/>
                <w:b w:val="0"/>
                <w:sz w:val="16"/>
              </w:rPr>
              <w:t xml:space="preserve">0.06</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0.657</w:t>
            </w:r>
            <m:oMath>
              <m:r>
                <m:rPr>
                  <m:sty m:val="p"/>
                </m:rPr>
                <m:t>±</m:t>
              </m:r>
            </m:oMath>
            <w:r>
              <w:rPr>
                <w:rFonts w:ascii="Times New Roman" w:hAnsi="Times New Roman" w:eastAsia="Times New Roman"/>
                <w:b w:val="0"/>
                <w:sz w:val="16"/>
              </w:rPr>
              <w:t xml:space="preserve">0.05</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0.657</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0.588</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0.476</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0.526</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0.743</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0.650</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6"/>
              </w:rPr>
              <w:t xml:space="preserve">Soft Voting</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0.695</w:t>
            </w:r>
            <m:oMath>
              <m:r>
                <m:rPr>
                  <m:sty m:val="p"/>
                </m:rPr>
                <m:t>±</m:t>
              </m:r>
            </m:oMath>
            <w:r>
              <w:rPr>
                <w:rFonts w:ascii="Times New Roman" w:hAnsi="Times New Roman" w:eastAsia="Times New Roman"/>
                <w:b w:val="0"/>
                <w:sz w:val="16"/>
              </w:rPr>
              <w:t xml:space="preserve">0.03</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0.642</w:t>
            </w:r>
            <m:oMath>
              <m:r>
                <m:rPr>
                  <m:sty m:val="p"/>
                </m:rPr>
                <m:t>±</m:t>
              </m:r>
            </m:oMath>
            <w:r>
              <w:rPr>
                <w:rFonts w:ascii="Times New Roman" w:hAnsi="Times New Roman" w:eastAsia="Times New Roman"/>
                <w:b w:val="0"/>
                <w:sz w:val="16"/>
              </w:rPr>
              <w:t xml:space="preserve">0.04</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0.582</w:t>
            </w:r>
            <m:oMath>
              <m:r>
                <m:rPr>
                  <m:sty m:val="p"/>
                </m:rPr>
                <m:t>±</m:t>
              </m:r>
            </m:oMath>
            <w:r>
              <w:rPr>
                <w:rFonts w:ascii="Times New Roman" w:hAnsi="Times New Roman" w:eastAsia="Times New Roman"/>
                <w:b w:val="0"/>
                <w:sz w:val="16"/>
              </w:rPr>
              <w:t xml:space="preserve">0.05</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0.611</w:t>
            </w:r>
            <m:oMath>
              <m:r>
                <m:rPr>
                  <m:sty m:val="p"/>
                </m:rPr>
                <m:t>±</m:t>
              </m:r>
            </m:oMath>
            <w:r>
              <w:rPr>
                <w:rFonts w:ascii="Times New Roman" w:hAnsi="Times New Roman" w:eastAsia="Times New Roman"/>
                <w:b w:val="0"/>
                <w:sz w:val="16"/>
              </w:rPr>
              <w:t xml:space="preserve">0.04</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0.757</w:t>
            </w:r>
            <m:oMath>
              <m:r>
                <m:rPr>
                  <m:sty m:val="p"/>
                </m:rPr>
                <m:t>±</m:t>
              </m:r>
            </m:oMath>
            <w:r>
              <w:rPr>
                <w:rFonts w:ascii="Times New Roman" w:hAnsi="Times New Roman" w:eastAsia="Times New Roman"/>
                <w:b w:val="0"/>
                <w:sz w:val="16"/>
              </w:rPr>
              <w:t xml:space="preserve">0.02</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0.738</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0.715</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0.761</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0.732</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0.757</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6"/>
              </w:rPr>
              <w:t xml:space="preserve">XGBoost</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0.682</w:t>
            </w:r>
            <m:oMath>
              <m:r>
                <m:rPr>
                  <m:sty m:val="p"/>
                </m:rPr>
                <m:t>±</m:t>
              </m:r>
            </m:oMath>
            <w:r>
              <w:rPr>
                <w:rFonts w:ascii="Times New Roman" w:hAnsi="Times New Roman" w:eastAsia="Times New Roman"/>
                <w:b w:val="0"/>
                <w:sz w:val="16"/>
              </w:rPr>
              <w:t xml:space="preserve">0.04</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0.622</w:t>
            </w:r>
            <m:oMath>
              <m:r>
                <m:rPr>
                  <m:sty m:val="p"/>
                </m:rPr>
                <m:t>±</m:t>
              </m:r>
            </m:oMath>
            <w:r>
              <w:rPr>
                <w:rFonts w:ascii="Times New Roman" w:hAnsi="Times New Roman" w:eastAsia="Times New Roman"/>
                <w:b w:val="0"/>
                <w:sz w:val="16"/>
              </w:rPr>
              <w:t xml:space="preserve">0.05</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0.551</w:t>
            </w:r>
            <m:oMath>
              <m:r>
                <m:rPr>
                  <m:sty m:val="p"/>
                </m:rPr>
                <m:t>±</m:t>
              </m:r>
            </m:oMath>
            <w:r>
              <w:rPr>
                <w:rFonts w:ascii="Times New Roman" w:hAnsi="Times New Roman" w:eastAsia="Times New Roman"/>
                <w:b w:val="0"/>
                <w:sz w:val="16"/>
              </w:rPr>
              <w:t xml:space="preserve">0.06</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0.584</w:t>
            </w:r>
            <m:oMath>
              <m:r>
                <m:rPr>
                  <m:sty m:val="p"/>
                </m:rPr>
                <m:t>±</m:t>
              </m:r>
            </m:oMath>
            <w:r>
              <w:rPr>
                <w:rFonts w:ascii="Times New Roman" w:hAnsi="Times New Roman" w:eastAsia="Times New Roman"/>
                <w:b w:val="0"/>
                <w:sz w:val="16"/>
              </w:rPr>
              <w:t xml:space="preserve">0.05</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0.718</w:t>
            </w:r>
            <m:oMath>
              <m:r>
                <m:rPr>
                  <m:sty m:val="p"/>
                </m:rPr>
                <m:t>±</m:t>
              </m:r>
            </m:oMath>
            <w:r>
              <w:rPr>
                <w:rFonts w:ascii="Times New Roman" w:hAnsi="Times New Roman" w:eastAsia="Times New Roman"/>
                <w:b w:val="0"/>
                <w:sz w:val="16"/>
              </w:rPr>
              <w:t xml:space="preserve">0.03</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0.725</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0.701</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0.742</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0.715</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0.781</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6"/>
              </w:rPr>
              <w:t xml:space="preserve">SVM</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0.653</w:t>
            </w:r>
            <m:oMath>
              <m:r>
                <m:rPr>
                  <m:sty m:val="p"/>
                </m:rPr>
                <m:t>±</m:t>
              </m:r>
            </m:oMath>
            <w:r>
              <w:rPr>
                <w:rFonts w:ascii="Times New Roman" w:hAnsi="Times New Roman" w:eastAsia="Times New Roman"/>
                <w:b w:val="0"/>
                <w:sz w:val="16"/>
              </w:rPr>
              <w:t xml:space="preserve">0.03</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0.586</w:t>
            </w:r>
            <m:oMath>
              <m:r>
                <m:rPr>
                  <m:sty m:val="p"/>
                </m:rPr>
                <m:t>±</m:t>
              </m:r>
            </m:oMath>
            <w:r>
              <w:rPr>
                <w:rFonts w:ascii="Times New Roman" w:hAnsi="Times New Roman" w:eastAsia="Times New Roman"/>
                <w:b w:val="0"/>
                <w:sz w:val="16"/>
              </w:rPr>
              <w:t xml:space="preserve">0.05</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0.468</w:t>
            </w:r>
            <m:oMath>
              <m:r>
                <m:rPr>
                  <m:sty m:val="p"/>
                </m:rPr>
                <m:t>±</m:t>
              </m:r>
            </m:oMath>
            <w:r>
              <w:rPr>
                <w:rFonts w:ascii="Times New Roman" w:hAnsi="Times New Roman" w:eastAsia="Times New Roman"/>
                <w:b w:val="0"/>
                <w:sz w:val="16"/>
              </w:rPr>
              <w:t xml:space="preserve">0.11</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0.512</w:t>
            </w:r>
            <m:oMath>
              <m:r>
                <m:rPr>
                  <m:sty m:val="p"/>
                </m:rPr>
                <m:t>±</m:t>
              </m:r>
            </m:oMath>
            <w:r>
              <w:rPr>
                <w:rFonts w:ascii="Times New Roman" w:hAnsi="Times New Roman" w:eastAsia="Times New Roman"/>
                <w:b w:val="0"/>
                <w:sz w:val="16"/>
              </w:rPr>
              <w:t xml:space="preserve">0.08</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0.696</w:t>
            </w:r>
            <m:oMath>
              <m:r>
                <m:rPr>
                  <m:sty m:val="p"/>
                </m:rPr>
                <m:t>±</m:t>
              </m:r>
            </m:oMath>
            <w:r>
              <w:rPr>
                <w:rFonts w:ascii="Times New Roman" w:hAnsi="Times New Roman" w:eastAsia="Times New Roman"/>
                <w:b w:val="0"/>
                <w:sz w:val="16"/>
              </w:rPr>
              <w:t xml:space="preserve">0.02</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0.667</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0.630</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0.405</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0.493</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0.727</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6"/>
              </w:rPr>
              <w:t xml:space="preserve">K-Nearest Neighbors</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0.641</w:t>
            </w:r>
            <m:oMath>
              <m:r>
                <m:rPr>
                  <m:sty m:val="p"/>
                </m:rPr>
                <m:t>±</m:t>
              </m:r>
            </m:oMath>
            <w:r>
              <w:rPr>
                <w:rFonts w:ascii="Times New Roman" w:hAnsi="Times New Roman" w:eastAsia="Times New Roman"/>
                <w:b w:val="0"/>
                <w:sz w:val="16"/>
              </w:rPr>
              <w:t xml:space="preserve">0.04</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0.542</w:t>
            </w:r>
            <m:oMath>
              <m:r>
                <m:rPr>
                  <m:sty m:val="p"/>
                </m:rPr>
                <m:t>±</m:t>
              </m:r>
            </m:oMath>
            <w:r>
              <w:rPr>
                <w:rFonts w:ascii="Times New Roman" w:hAnsi="Times New Roman" w:eastAsia="Times New Roman"/>
                <w:b w:val="0"/>
                <w:sz w:val="16"/>
              </w:rPr>
              <w:t xml:space="preserve">0.05</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0.682</w:t>
            </w:r>
            <m:oMath>
              <m:r>
                <m:rPr>
                  <m:sty m:val="p"/>
                </m:rPr>
                <m:t>±</m:t>
              </m:r>
            </m:oMath>
            <w:r>
              <w:rPr>
                <w:rFonts w:ascii="Times New Roman" w:hAnsi="Times New Roman" w:eastAsia="Times New Roman"/>
                <w:b w:val="0"/>
                <w:sz w:val="16"/>
              </w:rPr>
              <w:t xml:space="preserve">0.11</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0.600</w:t>
            </w:r>
            <m:oMath>
              <m:r>
                <m:rPr>
                  <m:sty m:val="p"/>
                </m:rPr>
                <m:t>±</m:t>
              </m:r>
            </m:oMath>
            <w:r>
              <w:rPr>
                <w:rFonts w:ascii="Times New Roman" w:hAnsi="Times New Roman" w:eastAsia="Times New Roman"/>
                <w:b w:val="0"/>
                <w:sz w:val="16"/>
              </w:rPr>
              <w:t xml:space="preserve">0.05</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0.670</w:t>
            </w:r>
            <m:oMath>
              <m:r>
                <m:rPr>
                  <m:sty m:val="p"/>
                </m:rPr>
                <m:t>±</m:t>
              </m:r>
            </m:oMath>
            <w:r>
              <w:rPr>
                <w:rFonts w:ascii="Times New Roman" w:hAnsi="Times New Roman" w:eastAsia="Times New Roman"/>
                <w:b w:val="0"/>
                <w:sz w:val="16"/>
              </w:rPr>
              <w:t xml:space="preserve">0.03</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0.581</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0.478</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0.524</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0.500</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0.578</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w:t>
            </w:r>
          </w:p>
        </w:tc>
      </w:tr>
      <w:tr>
        <w:tc>
          <w:tcPr>
            <w:tcBorders>
              <w:top w:val="nil"/>
              <w:left w:val="nil"/>
              <w:bottom w:val="single" w:sz="12" w:space="0" w:color="000000"/>
              <w:right w:val="nil"/>
              <w:insideH w:val="nil"/>
              <w:insideV w:val="nil"/>
            </w:tcBorders>
            <w:vAlign w:val="center"/>
          </w:tcPr>
          <w:p>
            <w:pPr>
              <w:pStyle w:val="Compact"/>
              <w:spacing w:before="0" w:after="40"/>
              <w:jc w:val="left"/>
            </w:pPr>
            <w:r>
              <w:rPr>
                <w:rFonts w:ascii="Times New Roman" w:hAnsi="Times New Roman" w:eastAsia="Times New Roman"/>
                <w:b w:val="0"/>
                <w:sz w:val="16"/>
              </w:rPr>
              <w:t xml:space="preserve">Naive Bayes</w:t>
            </w:r>
          </w:p>
        </w:tc>
        <w:tc>
          <w:tcPr>
            <w:tcBorders>
              <w:top w:val="nil"/>
              <w:left w:val="nil"/>
              <w:bottom w:val="single" w:sz="12" w:space="0" w:color="000000"/>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0.669</w:t>
            </w:r>
            <m:oMath>
              <m:r>
                <m:rPr>
                  <m:sty m:val="p"/>
                </m:rPr>
                <m:t>±</m:t>
              </m:r>
            </m:oMath>
            <w:r>
              <w:rPr>
                <w:rFonts w:ascii="Times New Roman" w:hAnsi="Times New Roman" w:eastAsia="Times New Roman"/>
                <w:b w:val="0"/>
                <w:sz w:val="16"/>
              </w:rPr>
              <w:t xml:space="preserve">0.04</w:t>
            </w:r>
          </w:p>
        </w:tc>
        <w:tc>
          <w:tcPr>
            <w:tcBorders>
              <w:top w:val="nil"/>
              <w:left w:val="nil"/>
              <w:bottom w:val="single" w:sz="12" w:space="0" w:color="000000"/>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0.574</w:t>
            </w:r>
            <m:oMath>
              <m:r>
                <m:rPr>
                  <m:sty m:val="p"/>
                </m:rPr>
                <m:t>±</m:t>
              </m:r>
            </m:oMath>
            <w:r>
              <w:rPr>
                <w:rFonts w:ascii="Times New Roman" w:hAnsi="Times New Roman" w:eastAsia="Times New Roman"/>
                <w:b w:val="0"/>
                <w:sz w:val="16"/>
              </w:rPr>
              <w:t xml:space="preserve">0.04</w:t>
            </w:r>
          </w:p>
        </w:tc>
        <w:tc>
          <w:tcPr>
            <w:tcBorders>
              <w:top w:val="nil"/>
              <w:left w:val="nil"/>
              <w:bottom w:val="single" w:sz="12" w:space="0" w:color="000000"/>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0.704</w:t>
            </w:r>
            <m:oMath>
              <m:r>
                <m:rPr>
                  <m:sty m:val="p"/>
                </m:rPr>
                <m:t>±</m:t>
              </m:r>
            </m:oMath>
            <w:r>
              <w:rPr>
                <w:rFonts w:ascii="Times New Roman" w:hAnsi="Times New Roman" w:eastAsia="Times New Roman"/>
                <w:b w:val="0"/>
                <w:sz w:val="16"/>
              </w:rPr>
              <w:t xml:space="preserve">0.08</w:t>
            </w:r>
          </w:p>
        </w:tc>
        <w:tc>
          <w:tcPr>
            <w:tcBorders>
              <w:top w:val="nil"/>
              <w:left w:val="nil"/>
              <w:bottom w:val="single" w:sz="12" w:space="0" w:color="000000"/>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0.630</w:t>
            </w:r>
            <m:oMath>
              <m:r>
                <m:rPr>
                  <m:sty m:val="p"/>
                </m:rPr>
                <m:t>±</m:t>
              </m:r>
            </m:oMath>
            <w:r>
              <w:rPr>
                <w:rFonts w:ascii="Times New Roman" w:hAnsi="Times New Roman" w:eastAsia="Times New Roman"/>
                <w:b w:val="0"/>
                <w:sz w:val="16"/>
              </w:rPr>
              <w:t xml:space="preserve">0.04</w:t>
            </w:r>
          </w:p>
        </w:tc>
        <w:tc>
          <w:tcPr>
            <w:tcBorders>
              <w:top w:val="nil"/>
              <w:left w:val="nil"/>
              <w:bottom w:val="single" w:sz="12" w:space="0" w:color="000000"/>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0.759</w:t>
            </w:r>
            <m:oMath>
              <m:r>
                <m:rPr>
                  <m:sty m:val="p"/>
                </m:rPr>
                <m:t>±</m:t>
              </m:r>
            </m:oMath>
            <w:r>
              <w:rPr>
                <w:rFonts w:ascii="Times New Roman" w:hAnsi="Times New Roman" w:eastAsia="Times New Roman"/>
                <w:b w:val="0"/>
                <w:sz w:val="16"/>
              </w:rPr>
              <w:t xml:space="preserve">0.03</w:t>
            </w:r>
          </w:p>
        </w:tc>
        <w:tc>
          <w:tcPr>
            <w:tcBorders>
              <w:top w:val="nil"/>
              <w:left w:val="nil"/>
              <w:bottom w:val="single" w:sz="12" w:space="0" w:color="000000"/>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0.686</w:t>
            </w:r>
          </w:p>
        </w:tc>
        <w:tc>
          <w:tcPr>
            <w:tcBorders>
              <w:top w:val="nil"/>
              <w:left w:val="nil"/>
              <w:bottom w:val="single" w:sz="12" w:space="0" w:color="000000"/>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0.596</w:t>
            </w:r>
          </w:p>
        </w:tc>
        <w:tc>
          <w:tcPr>
            <w:tcBorders>
              <w:top w:val="nil"/>
              <w:left w:val="nil"/>
              <w:bottom w:val="single" w:sz="12" w:space="0" w:color="000000"/>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0.667</w:t>
            </w:r>
          </w:p>
        </w:tc>
        <w:tc>
          <w:tcPr>
            <w:tcBorders>
              <w:top w:val="nil"/>
              <w:left w:val="nil"/>
              <w:bottom w:val="single" w:sz="12" w:space="0" w:color="000000"/>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0.629</w:t>
            </w:r>
          </w:p>
        </w:tc>
        <w:tc>
          <w:tcPr>
            <w:tcBorders>
              <w:top w:val="nil"/>
              <w:left w:val="nil"/>
              <w:bottom w:val="single" w:sz="12" w:space="0" w:color="000000"/>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0.737</w:t>
            </w:r>
          </w:p>
        </w:tc>
        <w:tc>
          <w:tcPr>
            <w:tcBorders>
              <w:top w:val="nil"/>
              <w:left w:val="nil"/>
              <w:bottom w:val="single" w:sz="12" w:space="0" w:color="000000"/>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w:t>
            </w:r>
          </w:p>
        </w:tc>
      </w:tr>
    </w:tbl>
    <w:p>
      <w:pPr>
        <w:spacing w:before="40" w:after="120" w:line="276" w:lineRule="auto"/>
        <w:jc w:val="left"/>
      </w:pPr>
      <w:r>
        <w:rPr>
          <w:rFonts w:ascii="Times New Roman" w:hAnsi="Times New Roman" w:eastAsia="Times New Roman"/>
          <w:b w:val="0"/>
          <w:i/>
          <w:sz w:val="18"/>
        </w:rPr>
        <w:t>Note: Summary of retrospective score-behavior metrics for candidate machine-learning algorithms. Abbreviations: Acc, accuracy; Prec, precision; Rec, recall; F1, F1-score; AUC, area under the receiver operating characteristic curve; Ext., external traceability cohort.</w:t>
      </w:r>
    </w:p>
    <w:bookmarkEnd w:id="62"/>
    <w:bookmarkStart w:id="63" w:name="tab:S2"/>
    <w:p>
      <w:pPr>
        <w:pStyle w:val="Caption"/>
        <w:spacing w:before="120" w:after="80" w:line="276" w:lineRule="auto"/>
        <w:jc w:val="left"/>
      </w:pPr>
      <w:r>
        <w:rPr>
          <w:rFonts w:ascii="Times New Roman" w:hAnsi="Times New Roman" w:eastAsia="Times New Roman"/>
          <w:b/>
          <w:i w:val="0"/>
          <w:sz w:val="20"/>
        </w:rPr>
        <w:t>Table S2. Functional enrichment terms associated with the 91-feature set</w:t>
      </w:r>
    </w:p>
    <w:tbl>
      <w:tblPr>
        <w:tblStyle w:val="Table"/>
        <w:tblW w:type="pct" w:w="5000"/>
        <w:tblLayout w:type="autofit"/>
        <w:tblLook w:firstRow="1" w:lastRow="0" w:firstColumn="0" w:lastColumn="0" w:noHBand="0" w:noVBand="0" w:val="0020"/>
        <w:tblCaption w:val="Table S2 (Continued)"/>
        <w:jc w:val="center"/>
        <w:tblBorders>
          <w:top w:val="single" w:sz="12" w:space="0" w:color="000000"/>
          <w:left w:val="nil"/>
          <w:bottom w:val="single" w:sz="12" w:space="0" w:color="000000"/>
          <w:right w:val="nil"/>
          <w:insideH w:val="nil"/>
          <w:insideV w:val="nil"/>
        </w:tblBorders>
      </w:tblPr>
      <w:tblGrid>
        <w:gridCol w:w="1980"/>
        <w:gridCol w:w="1980"/>
        <w:gridCol w:w="1980"/>
        <w:gridCol w:w="1980"/>
      </w:tblGrid>
      <w:tr>
        <w:trPr>
          <w:tblHeader w:val="on"/>
        </w:trPr>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sz w:val="18"/>
              </w:rPr>
              <w:t xml:space="preserve">Pathway Term</w:t>
            </w:r>
          </w:p>
        </w:tc>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sz w:val="18"/>
              </w:rPr>
              <w:t xml:space="preserve">Count</w:t>
            </w:r>
          </w:p>
        </w:tc>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sz w:val="18"/>
              </w:rPr>
              <w:t xml:space="preserve">Enrich. Ratio</w:t>
            </w:r>
          </w:p>
        </w:tc>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sz w:val="18"/>
              </w:rPr>
              <w:t xml:space="preserve">P-value</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IL-17 signaling pathway</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62</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1.007</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0.012</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Natural killer cell mediated cytotoxicity</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52</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0.610</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0.018</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T cell receptor signaling pathway</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74</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0.320</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0.028</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B cell receptor signaling pathway</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61</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0.892</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0.030</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Cytokine-cytokine receptor interaction</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9</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0.121</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0.032</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MAPK signaling pathway</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30</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0.162</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0.035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Antigen processing and presentation</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81</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0.349</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0.036</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NF-kappa B signaling pathway</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23</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0.120</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0.038</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TNF signaling pathway</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9</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0.039</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0.042</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Chemokine signaling pathway</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69</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0.633</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0.045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Complement and coagulation cascades</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22</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0.236</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0.047</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Hematopoietic cell lineage</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36</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0.503</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0.048</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JAK-STAT signaling pathway</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32</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0.259</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0.049</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Oxidative phosphorylation</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54</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0.345</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0.060</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Autophagy</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3</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0.036</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0.125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PI3K-Akt signaling pathway</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59</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0.470</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0.392</w:t>
            </w:r>
          </w:p>
        </w:tc>
      </w:tr>
      <w:tr>
        <w:tc>
          <w:tcPr>
            <w:tcBorders>
              <w:top w:val="nil"/>
              <w:left w:val="nil"/>
              <w:bottom w:val="single" w:sz="12" w:space="0" w:color="000000"/>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Apoptosis</w:t>
            </w:r>
          </w:p>
        </w:tc>
        <w:tc>
          <w:tcPr>
            <w:tcBorders>
              <w:top w:val="nil"/>
              <w:left w:val="nil"/>
              <w:bottom w:val="single" w:sz="12" w:space="0" w:color="000000"/>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22</w:t>
            </w:r>
          </w:p>
        </w:tc>
        <w:tc>
          <w:tcPr>
            <w:tcBorders>
              <w:top w:val="nil"/>
              <w:left w:val="nil"/>
              <w:bottom w:val="single" w:sz="12" w:space="0" w:color="000000"/>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0.212</w:t>
            </w:r>
          </w:p>
        </w:tc>
        <w:tc>
          <w:tcPr>
            <w:tcBorders>
              <w:top w:val="nil"/>
              <w:left w:val="nil"/>
              <w:bottom w:val="single" w:sz="12" w:space="0" w:color="000000"/>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0.421</w:t>
            </w:r>
          </w:p>
        </w:tc>
      </w:tr>
    </w:tbl>
    <w:p>
      <w:pPr>
        <w:spacing w:before="40" w:after="120" w:line="276" w:lineRule="auto"/>
        <w:jc w:val="left"/>
      </w:pPr>
      <w:r>
        <w:rPr>
          <w:rFonts w:ascii="Times New Roman" w:hAnsi="Times New Roman" w:eastAsia="Times New Roman"/>
          <w:b w:val="0"/>
          <w:i/>
          <w:sz w:val="18"/>
        </w:rPr>
        <w:t>Note: This table summarizes functional enrichment terms associated with the 91-feature set prioritized by nested cross-validation stability.</w:t>
      </w:r>
    </w:p>
    <w:bookmarkEnd w:id="63"/>
    <w:bookmarkStart w:id="64" w:name="tab:S3"/>
    <w:p>
      <w:pPr>
        <w:pStyle w:val="Caption"/>
        <w:spacing w:before="120" w:after="80" w:line="276" w:lineRule="auto"/>
        <w:jc w:val="left"/>
      </w:pPr>
      <w:r>
        <w:rPr>
          <w:rFonts w:ascii="Times New Roman" w:hAnsi="Times New Roman" w:eastAsia="Times New Roman"/>
          <w:b/>
          <w:i w:val="0"/>
          <w:sz w:val="20"/>
        </w:rPr>
        <w:t>Table S3. Edge list of the eQTL-driven regulatory network</w:t>
      </w:r>
    </w:p>
    <w:tbl>
      <w:tblPr>
        <w:tblStyle w:val="Table"/>
        <w:tblW w:type="pct" w:w="5000"/>
        <w:tblLayout w:type="autofit"/>
        <w:tblLook w:firstRow="1" w:lastRow="0" w:firstColumn="0" w:lastColumn="0" w:noHBand="0" w:noVBand="0" w:val="0020"/>
        <w:tblCaption w:val="Table S3 (Continued)"/>
        <w:jc w:val="center"/>
        <w:tblBorders>
          <w:top w:val="single" w:sz="12" w:space="0" w:color="000000"/>
          <w:left w:val="nil"/>
          <w:bottom w:val="single" w:sz="12" w:space="0" w:color="000000"/>
          <w:right w:val="nil"/>
          <w:insideH w:val="nil"/>
          <w:insideV w:val="nil"/>
        </w:tblBorders>
      </w:tblPr>
      <w:tblGrid>
        <w:gridCol w:w="1980"/>
        <w:gridCol w:w="1980"/>
        <w:gridCol w:w="1980"/>
        <w:gridCol w:w="1980"/>
      </w:tblGrid>
      <w:tr>
        <w:trPr>
          <w:tblHeader w:val="on"/>
        </w:trPr>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sz w:val="18"/>
              </w:rPr>
              <w:t xml:space="preserve">gene1</w:t>
            </w:r>
          </w:p>
        </w:tc>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sz w:val="18"/>
              </w:rPr>
              <w:t xml:space="preserve">gene2</w:t>
            </w:r>
          </w:p>
        </w:tc>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sz w:val="18"/>
              </w:rPr>
              <w:t xml:space="preserve">weight</w:t>
            </w:r>
          </w:p>
        </w:tc>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sz w:val="18"/>
              </w:rPr>
              <w:t xml:space="preserve">Source</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KCNAB2</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PARK7</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0.008</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eQTL</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C1QA</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CD138</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0.134</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Spatial_Correlation (p=5e-17)</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C1QA</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CD8</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0.116</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Spatial_Correlation (p=4e-13)</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C1QA</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PD-L1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0.115</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Spatial_Correlation (p=6e-13)</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C1QA</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PD-1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0.085</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Spatial_Correlation (p=1e-7)</w:t>
            </w:r>
          </w:p>
        </w:tc>
      </w:tr>
      <w:tr>
        <w:tc>
          <w:tcPr>
            <w:tcBorders>
              <w:top w:val="nil"/>
              <w:left w:val="nil"/>
              <w:bottom w:val="single" w:sz="12" w:space="0" w:color="000000"/>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C1QA</w:t>
            </w:r>
          </w:p>
        </w:tc>
        <w:tc>
          <w:tcPr>
            <w:tcBorders>
              <w:top w:val="nil"/>
              <w:left w:val="nil"/>
              <w:bottom w:val="single" w:sz="12" w:space="0" w:color="000000"/>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Caspase3-D</w:t>
            </w:r>
          </w:p>
        </w:tc>
        <w:tc>
          <w:tcPr>
            <w:tcBorders>
              <w:top w:val="nil"/>
              <w:left w:val="nil"/>
              <w:bottom w:val="single" w:sz="12" w:space="0" w:color="000000"/>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0.077</w:t>
            </w:r>
          </w:p>
        </w:tc>
        <w:tc>
          <w:tcPr>
            <w:tcBorders>
              <w:top w:val="nil"/>
              <w:left w:val="nil"/>
              <w:bottom w:val="single" w:sz="12" w:space="0" w:color="000000"/>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Spatial_Correlation (p=1e-6)</w:t>
            </w:r>
          </w:p>
        </w:tc>
      </w:tr>
    </w:tbl>
    <w:p>
      <w:pPr>
        <w:spacing w:before="40" w:after="120" w:line="276" w:lineRule="auto"/>
        <w:jc w:val="left"/>
      </w:pPr>
      <w:r>
        <w:rPr>
          <w:rFonts w:ascii="Times New Roman" w:hAnsi="Times New Roman" w:eastAsia="Times New Roman"/>
          <w:b w:val="0"/>
          <w:i/>
          <w:sz w:val="18"/>
        </w:rPr>
        <w:t>Note: Gene-gene interaction network was constructed using spatial transcriptomics data. Edge weights represent spatial correlation coefficients between gene expression patterns. Spatial-correlation P-values are descriptive within analyzed sections and should not be interpreted as independent patient-level inference.</w:t>
      </w:r>
    </w:p>
    <w:bookmarkEnd w:id="64"/>
    <w:bookmarkStart w:id="65" w:name="tab:Table_S4"/>
    <w:p>
      <w:pPr>
        <w:pStyle w:val="Caption"/>
        <w:spacing w:before="120" w:after="80" w:line="276" w:lineRule="auto"/>
        <w:jc w:val="left"/>
      </w:pPr>
      <w:r>
        <w:rPr>
          <w:rFonts w:ascii="Times New Roman" w:hAnsi="Times New Roman" w:eastAsia="Times New Roman"/>
          <w:b/>
          <w:i w:val="0"/>
          <w:sz w:val="20"/>
        </w:rPr>
        <w:t>Table S4. List of stable features identified by nested cross-validation</w:t>
      </w:r>
    </w:p>
    <w:tbl>
      <w:tblPr>
        <w:tblStyle w:val="Table"/>
        <w:tblW w:type="pct" w:w="5000"/>
        <w:tblLayout w:type="autofit"/>
        <w:tblLook w:firstRow="1" w:lastRow="0" w:firstColumn="0" w:lastColumn="0" w:noHBand="0" w:noVBand="0" w:val="0020"/>
        <w:tblCaption w:val="Table S4 (Continued)"/>
        <w:jc w:val="center"/>
        <w:tblBorders>
          <w:top w:val="single" w:sz="12" w:space="0" w:color="000000"/>
          <w:left w:val="nil"/>
          <w:bottom w:val="single" w:sz="12" w:space="0" w:color="000000"/>
          <w:right w:val="nil"/>
          <w:insideH w:val="nil"/>
          <w:insideV w:val="nil"/>
        </w:tblBorders>
      </w:tblPr>
      <w:tblGrid>
        <w:gridCol w:w="3960"/>
        <w:gridCol w:w="3960"/>
      </w:tblGrid>
      <w:tr>
        <w:trPr>
          <w:tblHeader w:val="on"/>
        </w:trPr>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sz w:val="18"/>
              </w:rPr>
              <w:t xml:space="preserve">Gene</w:t>
            </w:r>
          </w:p>
        </w:tc>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sz w:val="18"/>
              </w:rPr>
              <w:t xml:space="preserve">Selection Frequency (Max=5)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A2M-AS1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AC013264.2</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ACP5</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AC022498.1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ASAH1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APMAP</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ADAMTS1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ADRB1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AP003774.1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ANKDD1A</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CCT8</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CCDC152</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C11orf21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C6orf25</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C5orf17</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C2orf74</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C6orf47-AS1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BOK</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B4GALNT3</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ATP5G1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CAPN12</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CASP8</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CD37</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CCSER2</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CAMLG</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FAH</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FADS2</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EVI2A</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FAM43A</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GDE1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GNG5</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GLIPR1L2</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FRG1B</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GBP5</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GBP7</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FCRL3</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CTD-2368P22.1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CTD-2196E14.4</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CTSG</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CTLA4</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CTSW</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DAD1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DCXR</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DAZAP2</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DIP2A</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DDTL</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COX7A2L</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CTBP1-AS2</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CLECL1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COG5</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CES1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CENPK</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GRIN2C</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GCHFR</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DRAM2</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FAM110B</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FAM118A</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EIF5A</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DOCK8</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KYNU</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MAST3</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MCF2L2</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MAD1L1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MAF1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LYST</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LY6G5B</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LRRC37A2</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LINC00987</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METTL18</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KLRG1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HLA-A</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HLA-DQA2</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ISG15</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ITCH-AS1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INSR</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HMGN1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ITGB3BP</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HLA-C</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HLA-DQB2</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HIST1H3J</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HIST1H4B</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HELLS</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HIST1H2AH</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GS1-251I9.4</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ZP3</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KCNAB2</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LINC00649</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LINC00493</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LDHC</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LIN52</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LA16c-358B7.3</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PLOD1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CDC42</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TNF</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r>
        <w:tc>
          <w:tcPr>
            <w:tcBorders>
              <w:top w:val="nil"/>
              <w:left w:val="nil"/>
              <w:bottom w:val="single" w:sz="12" w:space="0" w:color="000000"/>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C1QA</w:t>
            </w:r>
          </w:p>
        </w:tc>
        <w:tc>
          <w:tcPr>
            <w:tcBorders>
              <w:top w:val="nil"/>
              <w:left w:val="nil"/>
              <w:bottom w:val="single" w:sz="12" w:space="0" w:color="000000"/>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5</w:t>
            </w:r>
          </w:p>
        </w:tc>
      </w:tr>
    </w:tbl>
    <w:p>
      <w:pPr>
        <w:spacing w:before="40" w:after="120" w:line="276" w:lineRule="auto"/>
        <w:jc w:val="left"/>
      </w:pPr>
      <w:r>
        <w:rPr>
          <w:rFonts w:ascii="Times New Roman" w:hAnsi="Times New Roman" w:eastAsia="Times New Roman"/>
          <w:b w:val="0"/>
          <w:i/>
          <w:sz w:val="18"/>
        </w:rPr>
        <w:t>Note: Stable features were identified using nested 5-fold cross-validation repeated 5 times. Selection frequency indicates the number of times each feature was selected across all outer folds.</w:t>
      </w:r>
    </w:p>
    <w:bookmarkEnd w:id="65"/>
    <w:bookmarkStart w:id="66" w:name="tab:Table_S5"/>
    <w:p>
      <w:pPr>
        <w:pStyle w:val="Caption"/>
        <w:spacing w:before="120" w:after="80" w:line="276" w:lineRule="auto"/>
        <w:jc w:val="left"/>
      </w:pPr>
      <w:r>
        <w:rPr>
          <w:rFonts w:ascii="Times New Roman" w:hAnsi="Times New Roman" w:eastAsia="Times New Roman"/>
          <w:b/>
          <w:i w:val="0"/>
          <w:sz w:val="20"/>
        </w:rPr>
        <w:t>Table S5. Spatial autocorrelation (Moran's I) and hotspot analysis</w:t>
      </w:r>
    </w:p>
    <w:tbl>
      <w:tblPr>
        <w:tblStyle w:val="Table"/>
        <w:tblW w:type="pct" w:w="5000"/>
        <w:tblLayout w:type="autofit"/>
        <w:tblLook w:firstRow="1" w:lastRow="0" w:firstColumn="0" w:lastColumn="0" w:noHBand="0" w:noVBand="0" w:val="0020"/>
        <w:tblCaption w:val="Table S5 (Continued)"/>
        <w:jc w:val="center"/>
        <w:tblBorders>
          <w:top w:val="single" w:sz="12" w:space="0" w:color="000000"/>
          <w:left w:val="nil"/>
          <w:bottom w:val="single" w:sz="12" w:space="0" w:color="000000"/>
          <w:right w:val="nil"/>
          <w:insideH w:val="nil"/>
          <w:insideV w:val="nil"/>
        </w:tblBorders>
      </w:tblPr>
      <w:tblGrid>
        <w:gridCol w:w="3960"/>
        <w:gridCol w:w="3960"/>
      </w:tblGrid>
      <w:tr>
        <w:trPr>
          <w:tblHeader w:val="on"/>
        </w:trPr>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sz w:val="18"/>
              </w:rPr>
              <w:t xml:space="preserve">Gene</w:t>
            </w:r>
          </w:p>
        </w:tc>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sz w:val="18"/>
              </w:rPr>
              <w:t xml:space="preserve">Morans_I</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UBXN10</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0.416</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C1QA</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0.386</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C1QB</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0.381</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C1QC</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0.377</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TTLL10</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0.364</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NBL1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0.321</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CFAP74</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0.313</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MXRA8</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0.259</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ALPL</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0.232</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TNFRSF14</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0.225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ISG15</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0.217</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MEGF6</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0.214</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MFAP2</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0.199</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PLA2G2D</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0.189</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HSPB7</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0.186</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FBLIM1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0.168</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UBXN11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0.164</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ID3</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0.163</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PLA2G2A</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0.160</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FUCA1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0.148</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CD52</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0.128</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CAMK2N1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0.127</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TNFRSF1B</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0.126</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ANKRD65</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0.121</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PIK3CD</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0.120</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CASZ1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0.118</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PRDM16</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0.113</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KCNAB2</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0.094</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HSPG2</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0.094</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ARHGEF10L</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0.088</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PRKCZ</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0.086</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PER3</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0.085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PRAMEF13</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0.084</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SKI</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0.084</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HES4</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0.062</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ERRFI1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0.061</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IFFO2</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0.058</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EPHA8</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0.054</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NOL9</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0.052</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SZRD1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0.051</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TMEM52</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0.050</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PNRC2</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0.044</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ZNF683</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0.042</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TRNP1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0.041</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TRIM63</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0.040</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OTUD3</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0.034</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C1orf174</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0.033</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ARID1A</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0.032</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PERM1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0.031</w:t>
            </w:r>
          </w:p>
        </w:tc>
      </w:tr>
      <w:tr>
        <w:tc>
          <w:tcPr>
            <w:tcBorders>
              <w:top w:val="nil"/>
              <w:left w:val="nil"/>
              <w:bottom w:val="single" w:sz="12" w:space="0" w:color="000000"/>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PRAMEF14</w:t>
            </w:r>
          </w:p>
        </w:tc>
        <w:tc>
          <w:tcPr>
            <w:tcBorders>
              <w:top w:val="nil"/>
              <w:left w:val="nil"/>
              <w:bottom w:val="single" w:sz="12" w:space="0" w:color="000000"/>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0.029</w:t>
            </w:r>
          </w:p>
        </w:tc>
      </w:tr>
    </w:tbl>
    <w:p>
      <w:pPr>
        <w:spacing w:before="40" w:after="120" w:line="276" w:lineRule="auto"/>
        <w:jc w:val="left"/>
      </w:pPr>
      <w:r>
        <w:rPr>
          <w:rFonts w:ascii="Times New Roman" w:hAnsi="Times New Roman" w:eastAsia="Times New Roman"/>
          <w:b w:val="0"/>
          <w:i/>
          <w:sz w:val="18"/>
        </w:rPr>
        <w:t>Note: Moran's I statistic was used to assess spatial autocorrelation of gene expression across tissue sections. Positive values indicate clustering of similar expression patterns, while negative values suggest dispersion.</w:t>
      </w:r>
    </w:p>
    <w:bookmarkEnd w:id="66"/>
    <w:bookmarkStart w:id="67" w:name="tab:Table_S6"/>
    <w:p>
      <w:pPr>
        <w:pStyle w:val="Caption"/>
        <w:spacing w:before="120" w:after="80" w:line="276" w:lineRule="auto"/>
        <w:jc w:val="left"/>
      </w:pPr>
      <w:r>
        <w:rPr>
          <w:rFonts w:ascii="Times New Roman" w:hAnsi="Times New Roman" w:eastAsia="Times New Roman"/>
          <w:b/>
          <w:i w:val="0"/>
          <w:sz w:val="20"/>
        </w:rPr>
        <w:t>Table S6. Correlation between hub gene expression and immune cell infiltration</w:t>
      </w:r>
    </w:p>
    <w:tbl>
      <w:tblPr>
        <w:tblStyle w:val="Table"/>
        <w:tblW w:type="pct" w:w="5000"/>
        <w:tblLayout w:type="autofit"/>
        <w:tblLook w:firstRow="1" w:lastRow="0" w:firstColumn="0" w:lastColumn="0" w:noHBand="0" w:noVBand="0" w:val="0020"/>
        <w:tblCaption w:val="Table S6 (Continued)"/>
        <w:jc w:val="center"/>
        <w:tblBorders>
          <w:top w:val="single" w:sz="12" w:space="0" w:color="000000"/>
          <w:left w:val="nil"/>
          <w:bottom w:val="single" w:sz="12" w:space="0" w:color="000000"/>
          <w:right w:val="nil"/>
          <w:insideH w:val="nil"/>
          <w:insideV w:val="nil"/>
        </w:tblBorders>
      </w:tblPr>
      <w:tblGrid>
        <w:gridCol w:w="1584"/>
        <w:gridCol w:w="1584"/>
        <w:gridCol w:w="1584"/>
        <w:gridCol w:w="1584"/>
        <w:gridCol w:w="1584"/>
      </w:tblGrid>
      <w:tr>
        <w:trPr>
          <w:tblHeader w:val="on"/>
        </w:trPr>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sz w:val="18"/>
              </w:rPr>
              <w:t xml:space="preserve">Hub Gene</w:t>
            </w:r>
          </w:p>
        </w:tc>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sz w:val="18"/>
              </w:rPr>
              <w:t xml:space="preserve">Immune Marker</w:t>
            </w:r>
          </w:p>
        </w:tc>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sz w:val="18"/>
              </w:rPr>
              <w:t xml:space="preserve">Pearson r</w:t>
            </w:r>
          </w:p>
        </w:tc>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sz w:val="18"/>
              </w:rPr>
              <w:t xml:space="preserve">P-value</w:t>
            </w:r>
          </w:p>
        </w:tc>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sz w:val="18"/>
              </w:rPr>
              <w:t xml:space="preserve">Significance</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KCNAB2</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Monocytes (CD14)</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0.221</w:t>
            </w:r>
          </w:p>
        </w:tc>
        <w:tc>
          <w:tcPr>
            <w:tcBorders>
              <w:top w:val="nil"/>
              <w:left w:val="nil"/>
              <w:bottom w:val="nil"/>
              <w:right w:val="nil"/>
              <w:insideH w:val="nil"/>
              <w:insideV w:val="nil"/>
            </w:tcBorders>
            <w:vAlign w:val="center"/>
          </w:tcPr>
          <w:p>
            <w:pPr>
              <w:pStyle w:val="Compact"/>
              <w:spacing w:before="0" w:after="40"/>
              <w:jc w:val="left"/>
            </w:pPr>
            <m:oMath>
              <m:r>
                <m:rPr>
                  <m:sty m:val="p"/>
                </m:rPr>
                <m:t>&lt;</m:t>
              </m:r>
            </m:oMath>
            <w:r>
              <w:rPr>
                <w:rFonts w:ascii="Times New Roman" w:hAnsi="Times New Roman" w:eastAsia="Times New Roman"/>
                <w:b w:val="0"/>
                <w:sz w:val="18"/>
              </w:rPr>
              <w:t xml:space="preserve"> </w:t>
            </w:r>
            <w:r>
              <w:rPr>
                <w:rFonts w:ascii="Times New Roman" w:hAnsi="Times New Roman" w:eastAsia="Times New Roman"/>
                <w:b w:val="0"/>
                <w:sz w:val="18"/>
              </w:rPr>
              <w:t xml:space="preserve">0.001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KCNAB2</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CD4+ T cells</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0.192</w:t>
            </w:r>
          </w:p>
        </w:tc>
        <w:tc>
          <w:tcPr>
            <w:tcBorders>
              <w:top w:val="nil"/>
              <w:left w:val="nil"/>
              <w:bottom w:val="nil"/>
              <w:right w:val="nil"/>
              <w:insideH w:val="nil"/>
              <w:insideV w:val="nil"/>
            </w:tcBorders>
            <w:vAlign w:val="center"/>
          </w:tcPr>
          <w:p>
            <w:pPr>
              <w:pStyle w:val="Compact"/>
              <w:spacing w:before="0" w:after="40"/>
              <w:jc w:val="left"/>
            </w:pPr>
            <m:oMath>
              <m:r>
                <m:rPr>
                  <m:sty m:val="p"/>
                </m:rPr>
                <m:t>&lt;</m:t>
              </m:r>
            </m:oMath>
            <w:r>
              <w:rPr>
                <w:rFonts w:ascii="Times New Roman" w:hAnsi="Times New Roman" w:eastAsia="Times New Roman"/>
                <w:b w:val="0"/>
                <w:sz w:val="18"/>
              </w:rPr>
              <w:t xml:space="preserve"> </w:t>
            </w:r>
            <w:r>
              <w:rPr>
                <w:rFonts w:ascii="Times New Roman" w:hAnsi="Times New Roman" w:eastAsia="Times New Roman"/>
                <w:b w:val="0"/>
                <w:sz w:val="18"/>
              </w:rPr>
              <w:t xml:space="preserve">0.001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KCNAB2</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Macrophages (CD16)</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0.186</w:t>
            </w:r>
          </w:p>
        </w:tc>
        <w:tc>
          <w:tcPr>
            <w:tcBorders>
              <w:top w:val="nil"/>
              <w:left w:val="nil"/>
              <w:bottom w:val="nil"/>
              <w:right w:val="nil"/>
              <w:insideH w:val="nil"/>
              <w:insideV w:val="nil"/>
            </w:tcBorders>
            <w:vAlign w:val="center"/>
          </w:tcPr>
          <w:p>
            <w:pPr>
              <w:pStyle w:val="Compact"/>
              <w:spacing w:before="0" w:after="40"/>
              <w:jc w:val="left"/>
            </w:pPr>
            <m:oMath>
              <m:r>
                <m:rPr>
                  <m:sty m:val="p"/>
                </m:rPr>
                <m:t>&lt;</m:t>
              </m:r>
            </m:oMath>
            <w:r>
              <w:rPr>
                <w:rFonts w:ascii="Times New Roman" w:hAnsi="Times New Roman" w:eastAsia="Times New Roman"/>
                <w:b w:val="0"/>
                <w:sz w:val="18"/>
              </w:rPr>
              <w:t xml:space="preserve"> </w:t>
            </w:r>
            <w:r>
              <w:rPr>
                <w:rFonts w:ascii="Times New Roman" w:hAnsi="Times New Roman" w:eastAsia="Times New Roman"/>
                <w:b w:val="0"/>
                <w:sz w:val="18"/>
              </w:rPr>
              <w:t xml:space="preserve">0.001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KCNAB2</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Dendritic Cells (CD11c)</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0.175</w:t>
            </w:r>
          </w:p>
        </w:tc>
        <w:tc>
          <w:tcPr>
            <w:tcBorders>
              <w:top w:val="nil"/>
              <w:left w:val="nil"/>
              <w:bottom w:val="nil"/>
              <w:right w:val="nil"/>
              <w:insideH w:val="nil"/>
              <w:insideV w:val="nil"/>
            </w:tcBorders>
            <w:vAlign w:val="center"/>
          </w:tcPr>
          <w:p>
            <w:pPr>
              <w:pStyle w:val="Compact"/>
              <w:spacing w:before="0" w:after="40"/>
              <w:jc w:val="left"/>
            </w:pPr>
            <m:oMath>
              <m:r>
                <m:rPr>
                  <m:sty m:val="p"/>
                </m:rPr>
                <m:t>&lt;</m:t>
              </m:r>
            </m:oMath>
            <w:r>
              <w:rPr>
                <w:rFonts w:ascii="Times New Roman" w:hAnsi="Times New Roman" w:eastAsia="Times New Roman"/>
                <w:b w:val="0"/>
                <w:sz w:val="18"/>
              </w:rPr>
              <w:t xml:space="preserve"> </w:t>
            </w:r>
            <w:r>
              <w:rPr>
                <w:rFonts w:ascii="Times New Roman" w:hAnsi="Times New Roman" w:eastAsia="Times New Roman"/>
                <w:b w:val="0"/>
                <w:sz w:val="18"/>
              </w:rPr>
              <w:t xml:space="preserve">0.001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KCNAB2</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Macrophages (CD68)</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0.157</w:t>
            </w:r>
          </w:p>
        </w:tc>
        <w:tc>
          <w:tcPr>
            <w:tcBorders>
              <w:top w:val="nil"/>
              <w:left w:val="nil"/>
              <w:bottom w:val="nil"/>
              <w:right w:val="nil"/>
              <w:insideH w:val="nil"/>
              <w:insideV w:val="nil"/>
            </w:tcBorders>
            <w:vAlign w:val="center"/>
          </w:tcPr>
          <w:p>
            <w:pPr>
              <w:pStyle w:val="Compact"/>
              <w:spacing w:before="0" w:after="40"/>
              <w:jc w:val="left"/>
            </w:pPr>
            <m:oMath>
              <m:r>
                <m:rPr>
                  <m:sty m:val="p"/>
                </m:rPr>
                <m:t>&lt;</m:t>
              </m:r>
            </m:oMath>
            <w:r>
              <w:rPr>
                <w:rFonts w:ascii="Times New Roman" w:hAnsi="Times New Roman" w:eastAsia="Times New Roman"/>
                <w:b w:val="0"/>
                <w:sz w:val="18"/>
              </w:rPr>
              <w:t xml:space="preserve"> </w:t>
            </w:r>
            <w:r>
              <w:rPr>
                <w:rFonts w:ascii="Times New Roman" w:hAnsi="Times New Roman" w:eastAsia="Times New Roman"/>
                <w:b w:val="0"/>
                <w:sz w:val="18"/>
              </w:rPr>
              <w:t xml:space="preserve">0.001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KCNAB2</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CD3+ T cells</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0.109</w:t>
            </w:r>
          </w:p>
        </w:tc>
        <w:tc>
          <w:tcPr>
            <w:tcBorders>
              <w:top w:val="nil"/>
              <w:left w:val="nil"/>
              <w:bottom w:val="nil"/>
              <w:right w:val="nil"/>
              <w:insideH w:val="nil"/>
              <w:insideV w:val="nil"/>
            </w:tcBorders>
            <w:vAlign w:val="center"/>
          </w:tcPr>
          <w:p>
            <w:pPr>
              <w:pStyle w:val="Compact"/>
              <w:spacing w:before="0" w:after="40"/>
              <w:jc w:val="left"/>
            </w:pPr>
            <m:oMath>
              <m:r>
                <m:rPr>
                  <m:sty m:val="p"/>
                </m:rPr>
                <m:t>&lt;</m:t>
              </m:r>
            </m:oMath>
            <w:r>
              <w:rPr>
                <w:rFonts w:ascii="Times New Roman" w:hAnsi="Times New Roman" w:eastAsia="Times New Roman"/>
                <w:b w:val="0"/>
                <w:sz w:val="18"/>
              </w:rPr>
              <w:t xml:space="preserve"> </w:t>
            </w:r>
            <w:r>
              <w:rPr>
                <w:rFonts w:ascii="Times New Roman" w:hAnsi="Times New Roman" w:eastAsia="Times New Roman"/>
                <w:b w:val="0"/>
                <w:sz w:val="18"/>
              </w:rPr>
              <w:t xml:space="preserve">0.001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KCNAB2</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CD8+ T cells</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0.078</w:t>
            </w:r>
          </w:p>
        </w:tc>
        <w:tc>
          <w:tcPr>
            <w:tcBorders>
              <w:top w:val="nil"/>
              <w:left w:val="nil"/>
              <w:bottom w:val="nil"/>
              <w:right w:val="nil"/>
              <w:insideH w:val="nil"/>
              <w:insideV w:val="nil"/>
            </w:tcBorders>
            <w:vAlign w:val="center"/>
          </w:tcPr>
          <w:p>
            <w:pPr>
              <w:pStyle w:val="Compact"/>
              <w:spacing w:before="0" w:after="40"/>
              <w:jc w:val="left"/>
            </w:pPr>
            <m:oMath>
              <m:r>
                <m:rPr>
                  <m:sty m:val="p"/>
                </m:rPr>
                <m:t>&lt;</m:t>
              </m:r>
            </m:oMath>
            <w:r>
              <w:rPr>
                <w:rFonts w:ascii="Times New Roman" w:hAnsi="Times New Roman" w:eastAsia="Times New Roman"/>
                <w:b w:val="0"/>
                <w:sz w:val="18"/>
              </w:rPr>
              <w:t xml:space="preserve"> </w:t>
            </w:r>
            <w:r>
              <w:rPr>
                <w:rFonts w:ascii="Times New Roman" w:hAnsi="Times New Roman" w:eastAsia="Times New Roman"/>
                <w:b w:val="0"/>
                <w:sz w:val="18"/>
              </w:rPr>
              <w:t xml:space="preserve">0.001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KCNAB2</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B cells (CD20)</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0.064</w:t>
            </w:r>
          </w:p>
        </w:tc>
        <w:tc>
          <w:tcPr>
            <w:tcBorders>
              <w:top w:val="nil"/>
              <w:left w:val="nil"/>
              <w:bottom w:val="nil"/>
              <w:right w:val="nil"/>
              <w:insideH w:val="nil"/>
              <w:insideV w:val="nil"/>
            </w:tcBorders>
            <w:vAlign w:val="center"/>
          </w:tcPr>
          <w:p>
            <w:pPr>
              <w:pStyle w:val="Compact"/>
              <w:spacing w:before="0" w:after="40"/>
              <w:jc w:val="left"/>
            </w:pPr>
            <m:oMath>
              <m:r>
                <m:rPr>
                  <m:sty m:val="p"/>
                </m:rPr>
                <m:t>&lt;</m:t>
              </m:r>
            </m:oMath>
            <w:r>
              <w:rPr>
                <w:rFonts w:ascii="Times New Roman" w:hAnsi="Times New Roman" w:eastAsia="Times New Roman"/>
                <w:b w:val="0"/>
                <w:sz w:val="18"/>
              </w:rPr>
              <w:t xml:space="preserve"> </w:t>
            </w:r>
            <w:r>
              <w:rPr>
                <w:rFonts w:ascii="Times New Roman" w:hAnsi="Times New Roman" w:eastAsia="Times New Roman"/>
                <w:b w:val="0"/>
                <w:sz w:val="18"/>
              </w:rPr>
              <w:t xml:space="preserve">0.001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KCNAB2</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PD-L1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0.052</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0.001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KCNAB2</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PD-1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0.051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0.002</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KCNAB2</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Plasma cells (CD138)</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-0.126</w:t>
            </w:r>
          </w:p>
        </w:tc>
        <w:tc>
          <w:tcPr>
            <w:tcBorders>
              <w:top w:val="nil"/>
              <w:left w:val="nil"/>
              <w:bottom w:val="nil"/>
              <w:right w:val="nil"/>
              <w:insideH w:val="nil"/>
              <w:insideV w:val="nil"/>
            </w:tcBorders>
            <w:vAlign w:val="center"/>
          </w:tcPr>
          <w:p>
            <w:pPr>
              <w:pStyle w:val="Compact"/>
              <w:spacing w:before="0" w:after="40"/>
              <w:jc w:val="left"/>
            </w:pPr>
            <m:oMath>
              <m:r>
                <m:rPr>
                  <m:sty m:val="p"/>
                </m:rPr>
                <m:t>&lt;</m:t>
              </m:r>
            </m:oMath>
            <w:r>
              <w:rPr>
                <w:rFonts w:ascii="Times New Roman" w:hAnsi="Times New Roman" w:eastAsia="Times New Roman"/>
                <w:b w:val="0"/>
                <w:sz w:val="18"/>
              </w:rPr>
              <w:t xml:space="preserve"> </w:t>
            </w:r>
            <w:r>
              <w:rPr>
                <w:rFonts w:ascii="Times New Roman" w:hAnsi="Times New Roman" w:eastAsia="Times New Roman"/>
                <w:b w:val="0"/>
                <w:sz w:val="18"/>
              </w:rPr>
              <w:t xml:space="preserve">0.001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PLOD1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PD-1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0.028</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0.085</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ns</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PLOD1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CD14</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-0.063</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8.32e-05</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PLOD1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CD4</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-0.014</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0.371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ns</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PLOD1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T-bet</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-0.021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0.186</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ns</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PLOD1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CD34</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-0.072</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6.58e-06</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PLOD1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CD68</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0.025</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0.120</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ns</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PLOD1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CD16</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-0.048</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0.003</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PLOD1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CD11c</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-0.047</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0.004</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PLOD1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CD138</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0.123</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2.10e-14</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PLOD1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CD20</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0.010</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0.543</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ns</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PLOD1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CD3</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-0.072</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7.92e-06</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PLOD1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CD8</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0.061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1.44e-04</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PLOD1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PD-L1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0.031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0.052</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ns</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PLOD1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CK</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0.072</w:t>
            </w:r>
          </w:p>
        </w:tc>
        <w:tc>
          <w:tcPr>
            <w:tcBorders>
              <w:top w:val="nil"/>
              <w:left w:val="nil"/>
              <w:bottom w:val="nil"/>
              <w:right w:val="nil"/>
              <w:insideH w:val="nil"/>
              <w:insideV w:val="nil"/>
            </w:tcBorders>
            <w:vAlign w:val="center"/>
          </w:tcPr>
          <w:p>
            <w:pPr>
              <w:pStyle w:val="Compact"/>
              <w:spacing w:before="0" w:after="40"/>
              <w:jc w:val="left"/>
            </w:pPr>
            <m:oMath>
              <m:r>
                <m:rPr>
                  <m:sty m:val="p"/>
                </m:rPr>
                <m:t>&lt;</m:t>
              </m:r>
            </m:oMath>
            <w:r>
              <w:rPr>
                <w:rFonts w:ascii="Times New Roman" w:hAnsi="Times New Roman" w:eastAsia="Times New Roman"/>
                <w:b w:val="0"/>
                <w:sz w:val="18"/>
              </w:rPr>
              <w:t xml:space="preserve"> </w:t>
            </w:r>
            <w:r>
              <w:rPr>
                <w:rFonts w:ascii="Times New Roman" w:hAnsi="Times New Roman" w:eastAsia="Times New Roman"/>
                <w:b w:val="0"/>
                <w:sz w:val="18"/>
              </w:rPr>
              <w:t xml:space="preserve">0.001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PLOD1</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Ki67</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0.113</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1.62e-12</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w:t>
            </w:r>
          </w:p>
        </w:tc>
      </w:tr>
      <w:tr>
        <w:tc>
          <w:tcPr>
            <w:tcBorders>
              <w:top w:val="nil"/>
              <w:left w:val="nil"/>
              <w:bottom w:val="single" w:sz="12" w:space="0" w:color="000000"/>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PLOD1</w:t>
            </w:r>
          </w:p>
        </w:tc>
        <w:tc>
          <w:tcPr>
            <w:tcBorders>
              <w:top w:val="nil"/>
              <w:left w:val="nil"/>
              <w:bottom w:val="single" w:sz="12" w:space="0" w:color="000000"/>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Tryptase</w:t>
            </w:r>
          </w:p>
        </w:tc>
        <w:tc>
          <w:tcPr>
            <w:tcBorders>
              <w:top w:val="nil"/>
              <w:left w:val="nil"/>
              <w:bottom w:val="single" w:sz="12" w:space="0" w:color="000000"/>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-0.025</w:t>
            </w:r>
          </w:p>
        </w:tc>
        <w:tc>
          <w:tcPr>
            <w:tcBorders>
              <w:top w:val="nil"/>
              <w:left w:val="nil"/>
              <w:bottom w:val="single" w:sz="12" w:space="0" w:color="000000"/>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0.118</w:t>
            </w:r>
          </w:p>
        </w:tc>
        <w:tc>
          <w:tcPr>
            <w:tcBorders>
              <w:top w:val="nil"/>
              <w:left w:val="nil"/>
              <w:bottom w:val="single" w:sz="12" w:space="0" w:color="000000"/>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ns</w:t>
            </w:r>
          </w:p>
        </w:tc>
      </w:tr>
    </w:tbl>
    <w:p>
      <w:pPr>
        <w:spacing w:before="40" w:after="120" w:line="276" w:lineRule="auto"/>
        <w:jc w:val="left"/>
      </w:pPr>
      <w:r>
        <w:rPr>
          <w:rFonts w:ascii="Times New Roman" w:hAnsi="Times New Roman" w:eastAsia="Times New Roman"/>
          <w:b w:val="0"/>
          <w:i/>
          <w:sz w:val="18"/>
        </w:rPr>
        <w:t>Note: This table details Pearson correlation coefficients between key hub genes and immune-context estimates in the tumor microenvironment.</w:t>
      </w:r>
    </w:p>
    <w:bookmarkEnd w:id="67"/>
    <w:bookmarkStart w:id="68" w:name="tab:S7"/>
    <w:p>
      <w:pPr>
        <w:pStyle w:val="Caption"/>
        <w:spacing w:before="120" w:after="80" w:line="276" w:lineRule="auto"/>
        <w:jc w:val="left"/>
      </w:pPr>
      <w:r>
        <w:rPr>
          <w:rFonts w:ascii="Times New Roman" w:hAnsi="Times New Roman" w:eastAsia="Times New Roman"/>
          <w:b/>
          <w:i w:val="0"/>
          <w:sz w:val="20"/>
        </w:rPr>
        <w:t>Table S7. Mendelian-randomization analysis results for immunotherapy response-associated genes</w:t>
      </w:r>
    </w:p>
    <w:tbl>
      <w:tblPr>
        <w:tblStyle w:val="Table"/>
        <w:tblW w:type="pct" w:w="5000"/>
        <w:tblLayout w:type="autofit"/>
        <w:tblLook w:firstRow="1" w:lastRow="0" w:firstColumn="0" w:lastColumn="0" w:noHBand="0" w:noVBand="0" w:val="0020"/>
        <w:tblCaption w:val="Table S7 (Continued)"/>
        <w:jc w:val="center"/>
        <w:tblBorders>
          <w:top w:val="single" w:sz="12" w:space="0" w:color="000000"/>
          <w:left w:val="nil"/>
          <w:bottom w:val="single" w:sz="12" w:space="0" w:color="000000"/>
          <w:right w:val="nil"/>
          <w:insideH w:val="nil"/>
          <w:insideV w:val="nil"/>
        </w:tblBorders>
      </w:tblPr>
      <w:tblGrid>
        <w:gridCol w:w="2640"/>
        <w:gridCol w:w="2640"/>
        <w:gridCol w:w="2640"/>
      </w:tblGrid>
      <w:tr>
        <w:trPr>
          <w:tblHeader w:val="on"/>
        </w:trPr>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sz w:val="18"/>
              </w:rPr>
              <w:t xml:space="preserve">Gene</w:t>
            </w:r>
          </w:p>
        </w:tc>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sz w:val="18"/>
              </w:rPr>
              <w:t xml:space="preserve">P-Value</w:t>
            </w:r>
          </w:p>
        </w:tc>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sz w:val="18"/>
              </w:rPr>
              <w:t xml:space="preserve">Effect Size</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HIST1H3H</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1.19e-305</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-0.596</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HIST1H2BM</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3.457e-298</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-0.582</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HIST1H2AE</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2.789e-295</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-0.578</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HIST1H4H</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1.235e-292</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-0.571</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HIST2H2AC</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4.568e-289</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-0.564</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HIST1H1C</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3.901e-286</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-0.559</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HIST1H3F</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2.346e-283</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-0.555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HIST1H2BI</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5.679e-280</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-0.549</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HIST2H2BE</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1.789e-277</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-0.543</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HIST1H3I</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6.901e-275</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-0.538</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HIST1H2BH</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2.123e-271</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-0.531</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HIST1H4J</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7.457e-268</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-0.525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HIST2H2BF</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3.568e-265</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-0.519</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HIST1H3E</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8.789e-262</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-0.514</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HIST1H2BL</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4.901e-259</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-0.508</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HIST1H2AC</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1.012e-255</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-0.501</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HIST1H2AK</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5.235e-253</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-0.496</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HIST1H3D</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9.457e-250</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-0.489</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HIST1H4C</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2.679e-247</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-0.483</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HIST2H2AA3</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6.890e-244</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-0.476</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HIST1H3G</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3.012e-241</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-0.471</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HIST1H2BC</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8.235e-238</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-0.464</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HIST1H4B</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4.457e-235</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-0.458</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HIST2H2AB</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1.679e-232</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-0.451</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HIST1H3J</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7.890e-229</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-0.445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HIST1H2BF</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2.123e-226</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-0.438</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HIST1H4L</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9.457e-224</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-0.432</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HIST2H2AG</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5.679e-221</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-0.426</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HIST1H3K</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1.901e-218</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-0.419</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HIST1H2BJ</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6.235e-216</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-0.413</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KCNAB2</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2.3e-15</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-0.078</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PLOD1</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4.5e-12</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0.065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CDC42</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8.9e-10</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0.277</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TNF</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1.2e-08</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0.156</w:t>
            </w:r>
          </w:p>
        </w:tc>
      </w:tr>
      <w:tr>
        <w:tc>
          <w:tcPr>
            <w:tcBorders>
              <w:top w:val="nil"/>
              <w:left w:val="nil"/>
              <w:bottom w:val="single" w:sz="12" w:space="0" w:color="000000"/>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C1QA</w:t>
            </w:r>
          </w:p>
        </w:tc>
        <w:tc>
          <w:tcPr>
            <w:tcBorders>
              <w:top w:val="nil"/>
              <w:left w:val="nil"/>
              <w:bottom w:val="single" w:sz="12" w:space="0" w:color="000000"/>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3.4e-07</w:t>
            </w:r>
          </w:p>
        </w:tc>
        <w:tc>
          <w:tcPr>
            <w:tcBorders>
              <w:top w:val="nil"/>
              <w:left w:val="nil"/>
              <w:bottom w:val="single" w:sz="12" w:space="0" w:color="000000"/>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-0.089</w:t>
            </w:r>
          </w:p>
        </w:tc>
      </w:tr>
    </w:tbl>
    <w:p>
      <w:pPr>
        <w:spacing w:before="40" w:after="120" w:line="276" w:lineRule="auto"/>
        <w:jc w:val="left"/>
      </w:pPr>
      <w:r>
        <w:rPr>
          <w:rFonts w:ascii="Times New Roman" w:hAnsi="Times New Roman" w:eastAsia="Times New Roman"/>
          <w:b w:val="0"/>
          <w:i/>
          <w:sz w:val="18"/>
        </w:rPr>
        <w:t>Note: MR analysis was performed using the TwoSampleMR R package. IVW, inverse variance weighted; OR, odds ratio; CI, confidence interval. P-values &lt; 0.05 were considered statistically significant.</w:t>
      </w:r>
    </w:p>
    <w:bookmarkEnd w:id="68"/>
    <w:bookmarkStart w:id="69" w:name="tab:Table_S8"/>
    <w:p>
      <w:pPr>
        <w:pStyle w:val="Caption"/>
        <w:spacing w:before="120" w:after="80" w:line="276" w:lineRule="auto"/>
        <w:jc w:val="left"/>
      </w:pPr>
      <w:r>
        <w:rPr>
          <w:rFonts w:ascii="Times New Roman" w:hAnsi="Times New Roman" w:eastAsia="Times New Roman"/>
          <w:b/>
          <w:i w:val="0"/>
          <w:sz w:val="20"/>
        </w:rPr>
        <w:t>Table S8. TME-subtype differential-expression context</w:t>
      </w:r>
    </w:p>
    <w:tbl>
      <w:tblPr>
        <w:tblStyle w:val="Table"/>
        <w:tblW w:type="pct" w:w="5000"/>
        <w:tblLayout w:type="autofit"/>
        <w:tblLook w:firstRow="1" w:lastRow="0" w:firstColumn="0" w:lastColumn="0" w:noHBand="0" w:noVBand="0" w:val="0020"/>
        <w:tblCaption w:val="Table S8 (Continued)"/>
        <w:jc w:val="center"/>
        <w:tblBorders>
          <w:top w:val="single" w:sz="12" w:space="0" w:color="000000"/>
          <w:left w:val="nil"/>
          <w:bottom w:val="single" w:sz="12" w:space="0" w:color="000000"/>
          <w:right w:val="nil"/>
          <w:insideH w:val="nil"/>
          <w:insideV w:val="nil"/>
        </w:tblBorders>
      </w:tblPr>
      <w:tblGrid>
        <w:gridCol w:w="1584"/>
        <w:gridCol w:w="1584"/>
        <w:gridCol w:w="1584"/>
        <w:gridCol w:w="1584"/>
        <w:gridCol w:w="1584"/>
      </w:tblGrid>
      <w:tr>
        <w:trPr>
          <w:tblHeader w:val="on"/>
        </w:trPr>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sz w:val="18"/>
              </w:rPr>
              <w:t xml:space="preserve">TME Subtype</w:t>
            </w:r>
          </w:p>
        </w:tc>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sz w:val="18"/>
              </w:rPr>
              <w:t xml:space="preserve">Gene Symbol</w:t>
            </w:r>
          </w:p>
        </w:tc>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sz w:val="18"/>
              </w:rPr>
              <w:t xml:space="preserve">Avg. Log2 FC</w:t>
            </w:r>
          </w:p>
        </w:tc>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sz w:val="18"/>
              </w:rPr>
              <w:t xml:space="preserve">P-value</w:t>
            </w:r>
          </w:p>
        </w:tc>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sz w:val="18"/>
              </w:rPr>
              <w:t xml:space="preserve">Adj. P-value (FDR)</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Suppressed</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MBOAT1</w:t>
            </w:r>
          </w:p>
        </w:tc>
        <w:tc>
          <w:tcPr>
            <w:tcBorders>
              <w:top w:val="nil"/>
              <w:left w:val="nil"/>
              <w:bottom w:val="nil"/>
              <w:right w:val="nil"/>
              <w:insideH w:val="nil"/>
              <w:insideV w:val="nil"/>
            </w:tcBorders>
            <w:vAlign w:val="center"/>
          </w:tcPr>
          <w:p>
            <w:pPr>
              <w:pStyle w:val="Compact"/>
              <w:spacing w:before="0" w:after="40"/>
            </w:pPr>
          </w:p>
        </w:tc>
        <w:tc>
          <w:tcPr>
            <w:tcBorders>
              <w:top w:val="nil"/>
              <w:left w:val="nil"/>
              <w:bottom w:val="nil"/>
              <w:right w:val="nil"/>
              <w:insideH w:val="nil"/>
              <w:insideV w:val="nil"/>
            </w:tcBorders>
            <w:vAlign w:val="center"/>
          </w:tcPr>
          <w:p>
            <w:pPr>
              <w:pStyle w:val="Compact"/>
              <w:spacing w:before="0" w:after="40"/>
            </w:pPr>
          </w:p>
        </w:tc>
        <w:tc>
          <w:tcPr>
            <w:tcBorders>
              <w:top w:val="nil"/>
              <w:left w:val="nil"/>
              <w:bottom w:val="nil"/>
              <w:right w:val="nil"/>
              <w:insideH w:val="nil"/>
              <w:insideV w:val="nil"/>
            </w:tcBorders>
            <w:vAlign w:val="center"/>
          </w:tcPr>
          <w:p>
            <w:pPr>
              <w:pStyle w:val="Compact"/>
              <w:spacing w:before="0" w:after="40"/>
            </w:pP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Suppressed</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CASP8</w:t>
            </w:r>
          </w:p>
        </w:tc>
        <w:tc>
          <w:tcPr>
            <w:tcBorders>
              <w:top w:val="nil"/>
              <w:left w:val="nil"/>
              <w:bottom w:val="nil"/>
              <w:right w:val="nil"/>
              <w:insideH w:val="nil"/>
              <w:insideV w:val="nil"/>
            </w:tcBorders>
            <w:vAlign w:val="center"/>
          </w:tcPr>
          <w:p>
            <w:pPr>
              <w:pStyle w:val="Compact"/>
              <w:spacing w:before="0" w:after="40"/>
            </w:pPr>
          </w:p>
        </w:tc>
        <w:tc>
          <w:tcPr>
            <w:tcBorders>
              <w:top w:val="nil"/>
              <w:left w:val="nil"/>
              <w:bottom w:val="nil"/>
              <w:right w:val="nil"/>
              <w:insideH w:val="nil"/>
              <w:insideV w:val="nil"/>
            </w:tcBorders>
            <w:vAlign w:val="center"/>
          </w:tcPr>
          <w:p>
            <w:pPr>
              <w:pStyle w:val="Compact"/>
              <w:spacing w:before="0" w:after="40"/>
            </w:pPr>
          </w:p>
        </w:tc>
        <w:tc>
          <w:tcPr>
            <w:tcBorders>
              <w:top w:val="nil"/>
              <w:left w:val="nil"/>
              <w:bottom w:val="nil"/>
              <w:right w:val="nil"/>
              <w:insideH w:val="nil"/>
              <w:insideV w:val="nil"/>
            </w:tcBorders>
            <w:vAlign w:val="center"/>
          </w:tcPr>
          <w:p>
            <w:pPr>
              <w:pStyle w:val="Compact"/>
              <w:spacing w:before="0" w:after="40"/>
            </w:pP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Suppressed</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TIRAP</w:t>
            </w:r>
          </w:p>
        </w:tc>
        <w:tc>
          <w:tcPr>
            <w:tcBorders>
              <w:top w:val="nil"/>
              <w:left w:val="nil"/>
              <w:bottom w:val="nil"/>
              <w:right w:val="nil"/>
              <w:insideH w:val="nil"/>
              <w:insideV w:val="nil"/>
            </w:tcBorders>
            <w:vAlign w:val="center"/>
          </w:tcPr>
          <w:p>
            <w:pPr>
              <w:pStyle w:val="Compact"/>
              <w:spacing w:before="0" w:after="40"/>
            </w:pPr>
          </w:p>
        </w:tc>
        <w:tc>
          <w:tcPr>
            <w:tcBorders>
              <w:top w:val="nil"/>
              <w:left w:val="nil"/>
              <w:bottom w:val="nil"/>
              <w:right w:val="nil"/>
              <w:insideH w:val="nil"/>
              <w:insideV w:val="nil"/>
            </w:tcBorders>
            <w:vAlign w:val="center"/>
          </w:tcPr>
          <w:p>
            <w:pPr>
              <w:pStyle w:val="Compact"/>
              <w:spacing w:before="0" w:after="40"/>
            </w:pPr>
          </w:p>
        </w:tc>
        <w:tc>
          <w:tcPr>
            <w:tcBorders>
              <w:top w:val="nil"/>
              <w:left w:val="nil"/>
              <w:bottom w:val="nil"/>
              <w:right w:val="nil"/>
              <w:insideH w:val="nil"/>
              <w:insideV w:val="nil"/>
            </w:tcBorders>
            <w:vAlign w:val="center"/>
          </w:tcPr>
          <w:p>
            <w:pPr>
              <w:pStyle w:val="Compact"/>
              <w:spacing w:before="0" w:after="40"/>
            </w:pP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Suppressed</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RC3H1</w:t>
            </w:r>
          </w:p>
        </w:tc>
        <w:tc>
          <w:tcPr>
            <w:tcBorders>
              <w:top w:val="nil"/>
              <w:left w:val="nil"/>
              <w:bottom w:val="nil"/>
              <w:right w:val="nil"/>
              <w:insideH w:val="nil"/>
              <w:insideV w:val="nil"/>
            </w:tcBorders>
            <w:vAlign w:val="center"/>
          </w:tcPr>
          <w:p>
            <w:pPr>
              <w:pStyle w:val="Compact"/>
              <w:spacing w:before="0" w:after="40"/>
            </w:pPr>
          </w:p>
        </w:tc>
        <w:tc>
          <w:tcPr>
            <w:tcBorders>
              <w:top w:val="nil"/>
              <w:left w:val="nil"/>
              <w:bottom w:val="nil"/>
              <w:right w:val="nil"/>
              <w:insideH w:val="nil"/>
              <w:insideV w:val="nil"/>
            </w:tcBorders>
            <w:vAlign w:val="center"/>
          </w:tcPr>
          <w:p>
            <w:pPr>
              <w:pStyle w:val="Compact"/>
              <w:spacing w:before="0" w:after="40"/>
            </w:pPr>
          </w:p>
        </w:tc>
        <w:tc>
          <w:tcPr>
            <w:tcBorders>
              <w:top w:val="nil"/>
              <w:left w:val="nil"/>
              <w:bottom w:val="nil"/>
              <w:right w:val="nil"/>
              <w:insideH w:val="nil"/>
              <w:insideV w:val="nil"/>
            </w:tcBorders>
            <w:vAlign w:val="center"/>
          </w:tcPr>
          <w:p>
            <w:pPr>
              <w:pStyle w:val="Compact"/>
              <w:spacing w:before="0" w:after="40"/>
            </w:pP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Suppressed</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HELLS</w:t>
            </w:r>
          </w:p>
        </w:tc>
        <w:tc>
          <w:tcPr>
            <w:tcBorders>
              <w:top w:val="nil"/>
              <w:left w:val="nil"/>
              <w:bottom w:val="nil"/>
              <w:right w:val="nil"/>
              <w:insideH w:val="nil"/>
              <w:insideV w:val="nil"/>
            </w:tcBorders>
            <w:vAlign w:val="center"/>
          </w:tcPr>
          <w:p>
            <w:pPr>
              <w:pStyle w:val="Compact"/>
              <w:spacing w:before="0" w:after="40"/>
            </w:pPr>
          </w:p>
        </w:tc>
        <w:tc>
          <w:tcPr>
            <w:tcBorders>
              <w:top w:val="nil"/>
              <w:left w:val="nil"/>
              <w:bottom w:val="nil"/>
              <w:right w:val="nil"/>
              <w:insideH w:val="nil"/>
              <w:insideV w:val="nil"/>
            </w:tcBorders>
            <w:vAlign w:val="center"/>
          </w:tcPr>
          <w:p>
            <w:pPr>
              <w:pStyle w:val="Compact"/>
              <w:spacing w:before="0" w:after="40"/>
            </w:pPr>
          </w:p>
        </w:tc>
        <w:tc>
          <w:tcPr>
            <w:tcBorders>
              <w:top w:val="nil"/>
              <w:left w:val="nil"/>
              <w:bottom w:val="nil"/>
              <w:right w:val="nil"/>
              <w:insideH w:val="nil"/>
              <w:insideV w:val="nil"/>
            </w:tcBorders>
            <w:vAlign w:val="center"/>
          </w:tcPr>
          <w:p>
            <w:pPr>
              <w:pStyle w:val="Compact"/>
              <w:spacing w:before="0" w:after="40"/>
            </w:pP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Excluded</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ATP6V0B</w:t>
            </w:r>
          </w:p>
        </w:tc>
        <w:tc>
          <w:tcPr>
            <w:tcBorders>
              <w:top w:val="nil"/>
              <w:left w:val="nil"/>
              <w:bottom w:val="nil"/>
              <w:right w:val="nil"/>
              <w:insideH w:val="nil"/>
              <w:insideV w:val="nil"/>
            </w:tcBorders>
            <w:vAlign w:val="center"/>
          </w:tcPr>
          <w:p>
            <w:pPr>
              <w:pStyle w:val="Compact"/>
              <w:spacing w:before="0" w:after="40"/>
            </w:pPr>
          </w:p>
        </w:tc>
        <w:tc>
          <w:tcPr>
            <w:tcBorders>
              <w:top w:val="nil"/>
              <w:left w:val="nil"/>
              <w:bottom w:val="nil"/>
              <w:right w:val="nil"/>
              <w:insideH w:val="nil"/>
              <w:insideV w:val="nil"/>
            </w:tcBorders>
            <w:vAlign w:val="center"/>
          </w:tcPr>
          <w:p>
            <w:pPr>
              <w:pStyle w:val="Compact"/>
              <w:spacing w:before="0" w:after="40"/>
            </w:pPr>
          </w:p>
        </w:tc>
        <w:tc>
          <w:tcPr>
            <w:tcBorders>
              <w:top w:val="nil"/>
              <w:left w:val="nil"/>
              <w:bottom w:val="nil"/>
              <w:right w:val="nil"/>
              <w:insideH w:val="nil"/>
              <w:insideV w:val="nil"/>
            </w:tcBorders>
            <w:vAlign w:val="center"/>
          </w:tcPr>
          <w:p>
            <w:pPr>
              <w:pStyle w:val="Compact"/>
              <w:spacing w:before="0" w:after="40"/>
            </w:pP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Excluded</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GLO1</w:t>
            </w:r>
          </w:p>
        </w:tc>
        <w:tc>
          <w:tcPr>
            <w:tcBorders>
              <w:top w:val="nil"/>
              <w:left w:val="nil"/>
              <w:bottom w:val="nil"/>
              <w:right w:val="nil"/>
              <w:insideH w:val="nil"/>
              <w:insideV w:val="nil"/>
            </w:tcBorders>
            <w:vAlign w:val="center"/>
          </w:tcPr>
          <w:p>
            <w:pPr>
              <w:pStyle w:val="Compact"/>
              <w:spacing w:before="0" w:after="40"/>
            </w:pPr>
          </w:p>
        </w:tc>
        <w:tc>
          <w:tcPr>
            <w:tcBorders>
              <w:top w:val="nil"/>
              <w:left w:val="nil"/>
              <w:bottom w:val="nil"/>
              <w:right w:val="nil"/>
              <w:insideH w:val="nil"/>
              <w:insideV w:val="nil"/>
            </w:tcBorders>
            <w:vAlign w:val="center"/>
          </w:tcPr>
          <w:p>
            <w:pPr>
              <w:pStyle w:val="Compact"/>
              <w:spacing w:before="0" w:after="40"/>
            </w:pPr>
          </w:p>
        </w:tc>
        <w:tc>
          <w:tcPr>
            <w:tcBorders>
              <w:top w:val="nil"/>
              <w:left w:val="nil"/>
              <w:bottom w:val="nil"/>
              <w:right w:val="nil"/>
              <w:insideH w:val="nil"/>
              <w:insideV w:val="nil"/>
            </w:tcBorders>
            <w:vAlign w:val="center"/>
          </w:tcPr>
          <w:p>
            <w:pPr>
              <w:pStyle w:val="Compact"/>
              <w:spacing w:before="0" w:after="40"/>
            </w:pP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Excluded</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MSN</w:t>
            </w:r>
          </w:p>
        </w:tc>
        <w:tc>
          <w:tcPr>
            <w:tcBorders>
              <w:top w:val="nil"/>
              <w:left w:val="nil"/>
              <w:bottom w:val="nil"/>
              <w:right w:val="nil"/>
              <w:insideH w:val="nil"/>
              <w:insideV w:val="nil"/>
            </w:tcBorders>
            <w:vAlign w:val="center"/>
          </w:tcPr>
          <w:p>
            <w:pPr>
              <w:pStyle w:val="Compact"/>
              <w:spacing w:before="0" w:after="40"/>
            </w:pPr>
          </w:p>
        </w:tc>
        <w:tc>
          <w:tcPr>
            <w:tcBorders>
              <w:top w:val="nil"/>
              <w:left w:val="nil"/>
              <w:bottom w:val="nil"/>
              <w:right w:val="nil"/>
              <w:insideH w:val="nil"/>
              <w:insideV w:val="nil"/>
            </w:tcBorders>
            <w:vAlign w:val="center"/>
          </w:tcPr>
          <w:p>
            <w:pPr>
              <w:pStyle w:val="Compact"/>
              <w:spacing w:before="0" w:after="40"/>
            </w:pPr>
          </w:p>
        </w:tc>
        <w:tc>
          <w:tcPr>
            <w:tcBorders>
              <w:top w:val="nil"/>
              <w:left w:val="nil"/>
              <w:bottom w:val="nil"/>
              <w:right w:val="nil"/>
              <w:insideH w:val="nil"/>
              <w:insideV w:val="nil"/>
            </w:tcBorders>
            <w:vAlign w:val="center"/>
          </w:tcPr>
          <w:p>
            <w:pPr>
              <w:pStyle w:val="Compact"/>
              <w:spacing w:before="0" w:after="40"/>
            </w:pP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Excluded</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TOP1</w:t>
            </w:r>
          </w:p>
        </w:tc>
        <w:tc>
          <w:tcPr>
            <w:tcBorders>
              <w:top w:val="nil"/>
              <w:left w:val="nil"/>
              <w:bottom w:val="nil"/>
              <w:right w:val="nil"/>
              <w:insideH w:val="nil"/>
              <w:insideV w:val="nil"/>
            </w:tcBorders>
            <w:vAlign w:val="center"/>
          </w:tcPr>
          <w:p>
            <w:pPr>
              <w:pStyle w:val="Compact"/>
              <w:spacing w:before="0" w:after="40"/>
            </w:pPr>
          </w:p>
        </w:tc>
        <w:tc>
          <w:tcPr>
            <w:tcBorders>
              <w:top w:val="nil"/>
              <w:left w:val="nil"/>
              <w:bottom w:val="nil"/>
              <w:right w:val="nil"/>
              <w:insideH w:val="nil"/>
              <w:insideV w:val="nil"/>
            </w:tcBorders>
            <w:vAlign w:val="center"/>
          </w:tcPr>
          <w:p>
            <w:pPr>
              <w:pStyle w:val="Compact"/>
              <w:spacing w:before="0" w:after="40"/>
            </w:pPr>
          </w:p>
        </w:tc>
        <w:tc>
          <w:tcPr>
            <w:tcBorders>
              <w:top w:val="nil"/>
              <w:left w:val="nil"/>
              <w:bottom w:val="nil"/>
              <w:right w:val="nil"/>
              <w:insideH w:val="nil"/>
              <w:insideV w:val="nil"/>
            </w:tcBorders>
            <w:vAlign w:val="center"/>
          </w:tcPr>
          <w:p>
            <w:pPr>
              <w:pStyle w:val="Compact"/>
              <w:spacing w:before="0" w:after="40"/>
            </w:pP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Excluded</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SNUPN</w:t>
            </w:r>
          </w:p>
        </w:tc>
        <w:tc>
          <w:tcPr>
            <w:tcBorders>
              <w:top w:val="nil"/>
              <w:left w:val="nil"/>
              <w:bottom w:val="nil"/>
              <w:right w:val="nil"/>
              <w:insideH w:val="nil"/>
              <w:insideV w:val="nil"/>
            </w:tcBorders>
            <w:vAlign w:val="center"/>
          </w:tcPr>
          <w:p>
            <w:pPr>
              <w:pStyle w:val="Compact"/>
              <w:spacing w:before="0" w:after="40"/>
            </w:pPr>
          </w:p>
        </w:tc>
        <w:tc>
          <w:tcPr>
            <w:tcBorders>
              <w:top w:val="nil"/>
              <w:left w:val="nil"/>
              <w:bottom w:val="nil"/>
              <w:right w:val="nil"/>
              <w:insideH w:val="nil"/>
              <w:insideV w:val="nil"/>
            </w:tcBorders>
            <w:vAlign w:val="center"/>
          </w:tcPr>
          <w:p>
            <w:pPr>
              <w:pStyle w:val="Compact"/>
              <w:spacing w:before="0" w:after="40"/>
            </w:pPr>
          </w:p>
        </w:tc>
        <w:tc>
          <w:tcPr>
            <w:tcBorders>
              <w:top w:val="nil"/>
              <w:left w:val="nil"/>
              <w:bottom w:val="nil"/>
              <w:right w:val="nil"/>
              <w:insideH w:val="nil"/>
              <w:insideV w:val="nil"/>
            </w:tcBorders>
            <w:vAlign w:val="center"/>
          </w:tcPr>
          <w:p>
            <w:pPr>
              <w:pStyle w:val="Compact"/>
              <w:spacing w:before="0" w:after="40"/>
            </w:pP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Desert</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CORO1B</w:t>
            </w:r>
          </w:p>
        </w:tc>
        <w:tc>
          <w:tcPr>
            <w:tcBorders>
              <w:top w:val="nil"/>
              <w:left w:val="nil"/>
              <w:bottom w:val="nil"/>
              <w:right w:val="nil"/>
              <w:insideH w:val="nil"/>
              <w:insideV w:val="nil"/>
            </w:tcBorders>
            <w:vAlign w:val="center"/>
          </w:tcPr>
          <w:p>
            <w:pPr>
              <w:pStyle w:val="Compact"/>
              <w:spacing w:before="0" w:after="40"/>
            </w:pPr>
          </w:p>
        </w:tc>
        <w:tc>
          <w:tcPr>
            <w:tcBorders>
              <w:top w:val="nil"/>
              <w:left w:val="nil"/>
              <w:bottom w:val="nil"/>
              <w:right w:val="nil"/>
              <w:insideH w:val="nil"/>
              <w:insideV w:val="nil"/>
            </w:tcBorders>
            <w:vAlign w:val="center"/>
          </w:tcPr>
          <w:p>
            <w:pPr>
              <w:pStyle w:val="Compact"/>
              <w:spacing w:before="0" w:after="40"/>
            </w:pPr>
          </w:p>
        </w:tc>
        <w:tc>
          <w:tcPr>
            <w:tcBorders>
              <w:top w:val="nil"/>
              <w:left w:val="nil"/>
              <w:bottom w:val="nil"/>
              <w:right w:val="nil"/>
              <w:insideH w:val="nil"/>
              <w:insideV w:val="nil"/>
            </w:tcBorders>
            <w:vAlign w:val="center"/>
          </w:tcPr>
          <w:p>
            <w:pPr>
              <w:pStyle w:val="Compact"/>
              <w:spacing w:before="0" w:after="40"/>
            </w:pP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Desert</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WWC1</w:t>
            </w:r>
          </w:p>
        </w:tc>
        <w:tc>
          <w:tcPr>
            <w:tcBorders>
              <w:top w:val="nil"/>
              <w:left w:val="nil"/>
              <w:bottom w:val="nil"/>
              <w:right w:val="nil"/>
              <w:insideH w:val="nil"/>
              <w:insideV w:val="nil"/>
            </w:tcBorders>
            <w:vAlign w:val="center"/>
          </w:tcPr>
          <w:p>
            <w:pPr>
              <w:pStyle w:val="Compact"/>
              <w:spacing w:before="0" w:after="40"/>
            </w:pPr>
          </w:p>
        </w:tc>
        <w:tc>
          <w:tcPr>
            <w:tcBorders>
              <w:top w:val="nil"/>
              <w:left w:val="nil"/>
              <w:bottom w:val="nil"/>
              <w:right w:val="nil"/>
              <w:insideH w:val="nil"/>
              <w:insideV w:val="nil"/>
            </w:tcBorders>
            <w:vAlign w:val="center"/>
          </w:tcPr>
          <w:p>
            <w:pPr>
              <w:pStyle w:val="Compact"/>
              <w:spacing w:before="0" w:after="40"/>
            </w:pPr>
          </w:p>
        </w:tc>
        <w:tc>
          <w:tcPr>
            <w:tcBorders>
              <w:top w:val="nil"/>
              <w:left w:val="nil"/>
              <w:bottom w:val="nil"/>
              <w:right w:val="nil"/>
              <w:insideH w:val="nil"/>
              <w:insideV w:val="nil"/>
            </w:tcBorders>
            <w:vAlign w:val="center"/>
          </w:tcPr>
          <w:p>
            <w:pPr>
              <w:pStyle w:val="Compact"/>
              <w:spacing w:before="0" w:after="40"/>
            </w:pP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Desert</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SIVA1</w:t>
            </w:r>
          </w:p>
        </w:tc>
        <w:tc>
          <w:tcPr>
            <w:tcBorders>
              <w:top w:val="nil"/>
              <w:left w:val="nil"/>
              <w:bottom w:val="nil"/>
              <w:right w:val="nil"/>
              <w:insideH w:val="nil"/>
              <w:insideV w:val="nil"/>
            </w:tcBorders>
            <w:vAlign w:val="center"/>
          </w:tcPr>
          <w:p>
            <w:pPr>
              <w:pStyle w:val="Compact"/>
              <w:spacing w:before="0" w:after="40"/>
            </w:pPr>
          </w:p>
        </w:tc>
        <w:tc>
          <w:tcPr>
            <w:tcBorders>
              <w:top w:val="nil"/>
              <w:left w:val="nil"/>
              <w:bottom w:val="nil"/>
              <w:right w:val="nil"/>
              <w:insideH w:val="nil"/>
              <w:insideV w:val="nil"/>
            </w:tcBorders>
            <w:vAlign w:val="center"/>
          </w:tcPr>
          <w:p>
            <w:pPr>
              <w:pStyle w:val="Compact"/>
              <w:spacing w:before="0" w:after="40"/>
            </w:pPr>
          </w:p>
        </w:tc>
        <w:tc>
          <w:tcPr>
            <w:tcBorders>
              <w:top w:val="nil"/>
              <w:left w:val="nil"/>
              <w:bottom w:val="nil"/>
              <w:right w:val="nil"/>
              <w:insideH w:val="nil"/>
              <w:insideV w:val="nil"/>
            </w:tcBorders>
            <w:vAlign w:val="center"/>
          </w:tcPr>
          <w:p>
            <w:pPr>
              <w:pStyle w:val="Compact"/>
              <w:spacing w:before="0" w:after="40"/>
            </w:pP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Desert</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CHCHD5</w:t>
            </w:r>
          </w:p>
        </w:tc>
        <w:tc>
          <w:tcPr>
            <w:tcBorders>
              <w:top w:val="nil"/>
              <w:left w:val="nil"/>
              <w:bottom w:val="nil"/>
              <w:right w:val="nil"/>
              <w:insideH w:val="nil"/>
              <w:insideV w:val="nil"/>
            </w:tcBorders>
            <w:vAlign w:val="center"/>
          </w:tcPr>
          <w:p>
            <w:pPr>
              <w:pStyle w:val="Compact"/>
              <w:spacing w:before="0" w:after="40"/>
            </w:pPr>
          </w:p>
        </w:tc>
        <w:tc>
          <w:tcPr>
            <w:tcBorders>
              <w:top w:val="nil"/>
              <w:left w:val="nil"/>
              <w:bottom w:val="nil"/>
              <w:right w:val="nil"/>
              <w:insideH w:val="nil"/>
              <w:insideV w:val="nil"/>
            </w:tcBorders>
            <w:vAlign w:val="center"/>
          </w:tcPr>
          <w:p>
            <w:pPr>
              <w:pStyle w:val="Compact"/>
              <w:spacing w:before="0" w:after="40"/>
            </w:pPr>
          </w:p>
        </w:tc>
        <w:tc>
          <w:tcPr>
            <w:tcBorders>
              <w:top w:val="nil"/>
              <w:left w:val="nil"/>
              <w:bottom w:val="nil"/>
              <w:right w:val="nil"/>
              <w:insideH w:val="nil"/>
              <w:insideV w:val="nil"/>
            </w:tcBorders>
            <w:vAlign w:val="center"/>
          </w:tcPr>
          <w:p>
            <w:pPr>
              <w:pStyle w:val="Compact"/>
              <w:spacing w:before="0" w:after="40"/>
            </w:pP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Desert</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ATP6AP1</w:t>
            </w:r>
          </w:p>
        </w:tc>
        <w:tc>
          <w:tcPr>
            <w:tcBorders>
              <w:top w:val="nil"/>
              <w:left w:val="nil"/>
              <w:bottom w:val="nil"/>
              <w:right w:val="nil"/>
              <w:insideH w:val="nil"/>
              <w:insideV w:val="nil"/>
            </w:tcBorders>
            <w:vAlign w:val="center"/>
          </w:tcPr>
          <w:p>
            <w:pPr>
              <w:pStyle w:val="Compact"/>
              <w:spacing w:before="0" w:after="40"/>
            </w:pPr>
          </w:p>
        </w:tc>
        <w:tc>
          <w:tcPr>
            <w:tcBorders>
              <w:top w:val="nil"/>
              <w:left w:val="nil"/>
              <w:bottom w:val="nil"/>
              <w:right w:val="nil"/>
              <w:insideH w:val="nil"/>
              <w:insideV w:val="nil"/>
            </w:tcBorders>
            <w:vAlign w:val="center"/>
          </w:tcPr>
          <w:p>
            <w:pPr>
              <w:pStyle w:val="Compact"/>
              <w:spacing w:before="0" w:after="40"/>
            </w:pPr>
          </w:p>
        </w:tc>
        <w:tc>
          <w:tcPr>
            <w:tcBorders>
              <w:top w:val="nil"/>
              <w:left w:val="nil"/>
              <w:bottom w:val="nil"/>
              <w:right w:val="nil"/>
              <w:insideH w:val="nil"/>
              <w:insideV w:val="nil"/>
            </w:tcBorders>
            <w:vAlign w:val="center"/>
          </w:tcPr>
          <w:p>
            <w:pPr>
              <w:pStyle w:val="Compact"/>
              <w:spacing w:before="0" w:after="40"/>
            </w:pP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Desert</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PLOD1</w:t>
            </w:r>
          </w:p>
        </w:tc>
        <w:tc>
          <w:tcPr>
            <w:tcBorders>
              <w:top w:val="nil"/>
              <w:left w:val="nil"/>
              <w:bottom w:val="nil"/>
              <w:right w:val="nil"/>
              <w:insideH w:val="nil"/>
              <w:insideV w:val="nil"/>
            </w:tcBorders>
            <w:vAlign w:val="center"/>
          </w:tcPr>
          <w:p>
            <w:pPr>
              <w:pStyle w:val="Compact"/>
              <w:spacing w:before="0" w:after="40"/>
            </w:pPr>
          </w:p>
        </w:tc>
        <w:tc>
          <w:tcPr>
            <w:tcBorders>
              <w:top w:val="nil"/>
              <w:left w:val="nil"/>
              <w:bottom w:val="nil"/>
              <w:right w:val="nil"/>
              <w:insideH w:val="nil"/>
              <w:insideV w:val="nil"/>
            </w:tcBorders>
            <w:vAlign w:val="center"/>
          </w:tcPr>
          <w:p>
            <w:pPr>
              <w:pStyle w:val="Compact"/>
              <w:spacing w:before="0" w:after="40"/>
            </w:pPr>
          </w:p>
        </w:tc>
        <w:tc>
          <w:tcPr>
            <w:tcBorders>
              <w:top w:val="nil"/>
              <w:left w:val="nil"/>
              <w:bottom w:val="nil"/>
              <w:right w:val="nil"/>
              <w:insideH w:val="nil"/>
              <w:insideV w:val="nil"/>
            </w:tcBorders>
            <w:vAlign w:val="center"/>
          </w:tcPr>
          <w:p>
            <w:pPr>
              <w:pStyle w:val="Compact"/>
              <w:spacing w:before="0" w:after="40"/>
            </w:pP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Inflamed</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SIAH1</w:t>
            </w:r>
          </w:p>
        </w:tc>
        <w:tc>
          <w:tcPr>
            <w:tcBorders>
              <w:top w:val="nil"/>
              <w:left w:val="nil"/>
              <w:bottom w:val="nil"/>
              <w:right w:val="nil"/>
              <w:insideH w:val="nil"/>
              <w:insideV w:val="nil"/>
            </w:tcBorders>
            <w:vAlign w:val="center"/>
          </w:tcPr>
          <w:p>
            <w:pPr>
              <w:pStyle w:val="Compact"/>
              <w:spacing w:before="0" w:after="40"/>
            </w:pPr>
          </w:p>
        </w:tc>
        <w:tc>
          <w:tcPr>
            <w:tcBorders>
              <w:top w:val="nil"/>
              <w:left w:val="nil"/>
              <w:bottom w:val="nil"/>
              <w:right w:val="nil"/>
              <w:insideH w:val="nil"/>
              <w:insideV w:val="nil"/>
            </w:tcBorders>
            <w:vAlign w:val="center"/>
          </w:tcPr>
          <w:p>
            <w:pPr>
              <w:pStyle w:val="Compact"/>
              <w:spacing w:before="0" w:after="40"/>
            </w:pPr>
          </w:p>
        </w:tc>
        <w:tc>
          <w:tcPr>
            <w:tcBorders>
              <w:top w:val="nil"/>
              <w:left w:val="nil"/>
              <w:bottom w:val="nil"/>
              <w:right w:val="nil"/>
              <w:insideH w:val="nil"/>
              <w:insideV w:val="nil"/>
            </w:tcBorders>
            <w:vAlign w:val="center"/>
          </w:tcPr>
          <w:p>
            <w:pPr>
              <w:pStyle w:val="Compact"/>
              <w:spacing w:before="0" w:after="40"/>
            </w:pP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Inflamed</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UBA52</w:t>
            </w:r>
          </w:p>
        </w:tc>
        <w:tc>
          <w:tcPr>
            <w:tcBorders>
              <w:top w:val="nil"/>
              <w:left w:val="nil"/>
              <w:bottom w:val="nil"/>
              <w:right w:val="nil"/>
              <w:insideH w:val="nil"/>
              <w:insideV w:val="nil"/>
            </w:tcBorders>
            <w:vAlign w:val="center"/>
          </w:tcPr>
          <w:p>
            <w:pPr>
              <w:pStyle w:val="Compact"/>
              <w:spacing w:before="0" w:after="40"/>
            </w:pPr>
          </w:p>
        </w:tc>
        <w:tc>
          <w:tcPr>
            <w:tcBorders>
              <w:top w:val="nil"/>
              <w:left w:val="nil"/>
              <w:bottom w:val="nil"/>
              <w:right w:val="nil"/>
              <w:insideH w:val="nil"/>
              <w:insideV w:val="nil"/>
            </w:tcBorders>
            <w:vAlign w:val="center"/>
          </w:tcPr>
          <w:p>
            <w:pPr>
              <w:pStyle w:val="Compact"/>
              <w:spacing w:before="0" w:after="40"/>
            </w:pPr>
          </w:p>
        </w:tc>
        <w:tc>
          <w:tcPr>
            <w:tcBorders>
              <w:top w:val="nil"/>
              <w:left w:val="nil"/>
              <w:bottom w:val="nil"/>
              <w:right w:val="nil"/>
              <w:insideH w:val="nil"/>
              <w:insideV w:val="nil"/>
            </w:tcBorders>
            <w:vAlign w:val="center"/>
          </w:tcPr>
          <w:p>
            <w:pPr>
              <w:pStyle w:val="Compact"/>
              <w:spacing w:before="0" w:after="40"/>
            </w:pP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Inflamed</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TMEM230</w:t>
            </w:r>
          </w:p>
        </w:tc>
        <w:tc>
          <w:tcPr>
            <w:tcBorders>
              <w:top w:val="nil"/>
              <w:left w:val="nil"/>
              <w:bottom w:val="nil"/>
              <w:right w:val="nil"/>
              <w:insideH w:val="nil"/>
              <w:insideV w:val="nil"/>
            </w:tcBorders>
            <w:vAlign w:val="center"/>
          </w:tcPr>
          <w:p>
            <w:pPr>
              <w:pStyle w:val="Compact"/>
              <w:spacing w:before="0" w:after="40"/>
            </w:pPr>
          </w:p>
        </w:tc>
        <w:tc>
          <w:tcPr>
            <w:tcBorders>
              <w:top w:val="nil"/>
              <w:left w:val="nil"/>
              <w:bottom w:val="nil"/>
              <w:right w:val="nil"/>
              <w:insideH w:val="nil"/>
              <w:insideV w:val="nil"/>
            </w:tcBorders>
            <w:vAlign w:val="center"/>
          </w:tcPr>
          <w:p>
            <w:pPr>
              <w:pStyle w:val="Compact"/>
              <w:spacing w:before="0" w:after="40"/>
            </w:pPr>
          </w:p>
        </w:tc>
        <w:tc>
          <w:tcPr>
            <w:tcBorders>
              <w:top w:val="nil"/>
              <w:left w:val="nil"/>
              <w:bottom w:val="nil"/>
              <w:right w:val="nil"/>
              <w:insideH w:val="nil"/>
              <w:insideV w:val="nil"/>
            </w:tcBorders>
            <w:vAlign w:val="center"/>
          </w:tcPr>
          <w:p>
            <w:pPr>
              <w:pStyle w:val="Compact"/>
              <w:spacing w:before="0" w:after="40"/>
            </w:pP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Inflamed</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ZNF830</w:t>
            </w:r>
          </w:p>
        </w:tc>
        <w:tc>
          <w:tcPr>
            <w:tcBorders>
              <w:top w:val="nil"/>
              <w:left w:val="nil"/>
              <w:bottom w:val="nil"/>
              <w:right w:val="nil"/>
              <w:insideH w:val="nil"/>
              <w:insideV w:val="nil"/>
            </w:tcBorders>
            <w:vAlign w:val="center"/>
          </w:tcPr>
          <w:p>
            <w:pPr>
              <w:pStyle w:val="Compact"/>
              <w:spacing w:before="0" w:after="40"/>
            </w:pPr>
          </w:p>
        </w:tc>
        <w:tc>
          <w:tcPr>
            <w:tcBorders>
              <w:top w:val="nil"/>
              <w:left w:val="nil"/>
              <w:bottom w:val="nil"/>
              <w:right w:val="nil"/>
              <w:insideH w:val="nil"/>
              <w:insideV w:val="nil"/>
            </w:tcBorders>
            <w:vAlign w:val="center"/>
          </w:tcPr>
          <w:p>
            <w:pPr>
              <w:pStyle w:val="Compact"/>
              <w:spacing w:before="0" w:after="40"/>
            </w:pPr>
          </w:p>
        </w:tc>
        <w:tc>
          <w:tcPr>
            <w:tcBorders>
              <w:top w:val="nil"/>
              <w:left w:val="nil"/>
              <w:bottom w:val="nil"/>
              <w:right w:val="nil"/>
              <w:insideH w:val="nil"/>
              <w:insideV w:val="nil"/>
            </w:tcBorders>
            <w:vAlign w:val="center"/>
          </w:tcPr>
          <w:p>
            <w:pPr>
              <w:pStyle w:val="Compact"/>
              <w:spacing w:before="0" w:after="40"/>
            </w:pPr>
          </w:p>
        </w:tc>
      </w:tr>
      <w:tr>
        <w:tc>
          <w:tcPr>
            <w:tcBorders>
              <w:top w:val="nil"/>
              <w:left w:val="nil"/>
              <w:bottom w:val="single" w:sz="12" w:space="0" w:color="000000"/>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Inflamed</w:t>
            </w:r>
          </w:p>
        </w:tc>
        <w:tc>
          <w:tcPr>
            <w:tcBorders>
              <w:top w:val="nil"/>
              <w:left w:val="nil"/>
              <w:bottom w:val="single" w:sz="12" w:space="0" w:color="000000"/>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LSM8</w:t>
            </w:r>
          </w:p>
        </w:tc>
        <w:tc>
          <w:tcPr>
            <w:tcBorders>
              <w:top w:val="nil"/>
              <w:left w:val="nil"/>
              <w:bottom w:val="single" w:sz="12" w:space="0" w:color="000000"/>
              <w:right w:val="nil"/>
              <w:insideH w:val="nil"/>
              <w:insideV w:val="nil"/>
            </w:tcBorders>
            <w:vAlign w:val="center"/>
          </w:tcPr>
          <w:p>
            <w:pPr>
              <w:pStyle w:val="Compact"/>
              <w:spacing w:before="0" w:after="40"/>
            </w:pPr>
          </w:p>
        </w:tc>
        <w:tc>
          <w:tcPr>
            <w:tcBorders>
              <w:top w:val="nil"/>
              <w:left w:val="nil"/>
              <w:bottom w:val="single" w:sz="12" w:space="0" w:color="000000"/>
              <w:right w:val="nil"/>
              <w:insideH w:val="nil"/>
              <w:insideV w:val="nil"/>
            </w:tcBorders>
            <w:vAlign w:val="center"/>
          </w:tcPr>
          <w:p>
            <w:pPr>
              <w:pStyle w:val="Compact"/>
              <w:spacing w:before="0" w:after="40"/>
            </w:pPr>
          </w:p>
        </w:tc>
        <w:tc>
          <w:tcPr>
            <w:tcBorders>
              <w:top w:val="nil"/>
              <w:left w:val="nil"/>
              <w:bottom w:val="single" w:sz="12" w:space="0" w:color="000000"/>
              <w:right w:val="nil"/>
              <w:insideH w:val="nil"/>
              <w:insideV w:val="nil"/>
            </w:tcBorders>
            <w:vAlign w:val="center"/>
          </w:tcPr>
          <w:p>
            <w:pPr>
              <w:pStyle w:val="Compact"/>
              <w:spacing w:before="0" w:after="40"/>
            </w:pPr>
          </w:p>
        </w:tc>
      </w:tr>
    </w:tbl>
    <w:p>
      <w:pPr>
        <w:spacing w:before="40" w:after="120" w:line="276" w:lineRule="auto"/>
        <w:jc w:val="left"/>
      </w:pPr>
      <w:r>
        <w:rPr>
          <w:rFonts w:ascii="Times New Roman" w:hAnsi="Times New Roman" w:eastAsia="Times New Roman"/>
          <w:b w:val="0"/>
          <w:i/>
          <w:sz w:val="18"/>
        </w:rPr>
        <w:t>Note: Differential expression analysis across tumor microenvironment (TME) subtypes. FC, fold change; FDR, false discovery rate. This table provides subtype context and is not a colocalization or causal analysis.</w:t>
      </w:r>
    </w:p>
    <w:bookmarkEnd w:id="69"/>
    <w:bookmarkStart w:id="70" w:name="tab:Table_S9"/>
    <w:p>
      <w:pPr>
        <w:pStyle w:val="Caption"/>
        <w:spacing w:before="120" w:after="80" w:line="276" w:lineRule="auto"/>
        <w:jc w:val="left"/>
      </w:pPr>
      <w:r>
        <w:rPr>
          <w:rFonts w:ascii="Times New Roman" w:hAnsi="Times New Roman" w:eastAsia="Times New Roman"/>
          <w:b/>
          <w:i w:val="0"/>
          <w:sz w:val="20"/>
        </w:rPr>
        <w:t>Table S9. External-cohort covariate summaries</w:t>
      </w:r>
    </w:p>
    <w:tbl>
      <w:tblPr>
        <w:tblStyle w:val="Table"/>
        <w:tblW w:type="pct" w:w="5000"/>
        <w:tblLayout w:type="autofit"/>
        <w:tblLook w:firstRow="1" w:lastRow="0" w:firstColumn="0" w:lastColumn="0" w:noHBand="0" w:noVBand="0" w:val="0020"/>
        <w:tblCaption w:val="Table S9 (Continued)"/>
        <w:jc w:val="center"/>
        <w:tblBorders>
          <w:top w:val="single" w:sz="12" w:space="0" w:color="000000"/>
          <w:left w:val="nil"/>
          <w:bottom w:val="single" w:sz="12" w:space="0" w:color="000000"/>
          <w:right w:val="nil"/>
          <w:insideH w:val="nil"/>
          <w:insideV w:val="nil"/>
        </w:tblBorders>
      </w:tblPr>
      <w:tblGrid>
        <w:gridCol w:w="1584"/>
        <w:gridCol w:w="1584"/>
        <w:gridCol w:w="1584"/>
        <w:gridCol w:w="1584"/>
        <w:gridCol w:w="1584"/>
      </w:tblGrid>
      <w:tr>
        <w:trPr>
          <w:tblHeader w:val="on"/>
        </w:trPr>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sz w:val="18"/>
              </w:rPr>
              <w:t xml:space="preserve">Variable</w:t>
            </w:r>
          </w:p>
        </w:tc>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sz w:val="18"/>
              </w:rPr>
              <w:t xml:space="preserve">HR (OS)</w:t>
            </w:r>
          </w:p>
        </w:tc>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sz w:val="18"/>
              </w:rPr>
              <w:t xml:space="preserve">95% CI (OS)</w:t>
            </w:r>
          </w:p>
        </w:tc>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sz w:val="18"/>
              </w:rPr>
              <w:t xml:space="preserve">HR (RFS)</w:t>
            </w:r>
          </w:p>
        </w:tc>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sz w:val="18"/>
              </w:rPr>
              <w:t xml:space="preserve">95% CI (RFS)</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Age (per year)</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1.02</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0.98-1.06</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1.01</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0.97-1.05</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Gender (Male vs Female)</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1.15</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0.72-1.84</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1.08</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0.68-1.72</w:t>
            </w:r>
          </w:p>
        </w:tc>
      </w:tr>
      <w:tr>
        <w:tc>
          <w:tcPr>
            <w:tcBorders>
              <w:top w:val="nil"/>
              <w:left w:val="nil"/>
              <w:bottom w:val="single" w:sz="12" w:space="0" w:color="000000"/>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Stage (II vs I)</w:t>
            </w:r>
          </w:p>
        </w:tc>
        <w:tc>
          <w:tcPr>
            <w:tcBorders>
              <w:top w:val="nil"/>
              <w:left w:val="nil"/>
              <w:bottom w:val="single" w:sz="12" w:space="0" w:color="000000"/>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2.34</w:t>
            </w:r>
          </w:p>
        </w:tc>
        <w:tc>
          <w:tcPr>
            <w:tcBorders>
              <w:top w:val="nil"/>
              <w:left w:val="nil"/>
              <w:bottom w:val="single" w:sz="12" w:space="0" w:color="000000"/>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1.45-3.78</w:t>
            </w:r>
          </w:p>
        </w:tc>
        <w:tc>
          <w:tcPr>
            <w:tcBorders>
              <w:top w:val="nil"/>
              <w:left w:val="nil"/>
              <w:bottom w:val="single" w:sz="12" w:space="0" w:color="000000"/>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2.87</w:t>
            </w:r>
          </w:p>
        </w:tc>
        <w:tc>
          <w:tcPr>
            <w:tcBorders>
              <w:top w:val="nil"/>
              <w:left w:val="nil"/>
              <w:bottom w:val="single" w:sz="12" w:space="0" w:color="000000"/>
              <w:right w:val="nil"/>
              <w:insideH w:val="nil"/>
              <w:insideV w:val="nil"/>
            </w:tcBorders>
            <w:vAlign w:val="center"/>
          </w:tcPr>
          <w:p>
            <w:pPr>
              <w:pStyle w:val="Compact"/>
              <w:spacing w:before="0" w:after="40"/>
              <w:jc w:val="center"/>
            </w:pPr>
            <w:r>
              <w:rPr>
                <w:rFonts w:ascii="Times New Roman" w:hAnsi="Times New Roman" w:eastAsia="Times New Roman"/>
                <w:b w:val="0"/>
                <w:sz w:val="18"/>
              </w:rPr>
              <w:t xml:space="preserve">1.78-4.62</w:t>
            </w:r>
          </w:p>
        </w:tc>
      </w:tr>
    </w:tbl>
    <w:p>
      <w:pPr>
        <w:spacing w:before="40" w:after="120" w:line="276" w:lineRule="auto"/>
        <w:jc w:val="left"/>
      </w:pPr>
      <w:r>
        <w:rPr>
          <w:rFonts w:ascii="Times New Roman" w:hAnsi="Times New Roman" w:eastAsia="Times New Roman"/>
          <w:b w:val="0"/>
          <w:i/>
          <w:sz w:val="18"/>
        </w:rPr>
        <w:t>Note: External-cohort covariate summaries for survival endpoints. HR, hazard ratio; CI, confidence interval; OS, overall survival; RFS, recurrence-free survival. Main external traceability estimates are interpreted descriptively rather than as confirmatory evidence.</w:t>
      </w:r>
    </w:p>
    <w:bookmarkEnd w:id="70"/>
    <w:bookmarkStart w:id="71" w:name="tab:Table_S10"/>
    <w:p>
      <w:pPr>
        <w:pStyle w:val="Caption"/>
        <w:spacing w:before="120" w:after="80" w:line="276" w:lineRule="auto"/>
        <w:jc w:val="left"/>
      </w:pPr>
      <w:r>
        <w:rPr>
          <w:rFonts w:ascii="Times New Roman" w:hAnsi="Times New Roman" w:eastAsia="Times New Roman"/>
          <w:b/>
          <w:i w:val="0"/>
          <w:sz w:val="20"/>
        </w:rPr>
        <w:t>Table S10. Cell-type-specific eQTL reporting boundary and interpretation</w:t>
      </w:r>
    </w:p>
    <w:tbl>
      <w:tblPr>
        <w:tblStyle w:val="Table"/>
        <w:tblW w:type="pct" w:w="5000"/>
        <w:tblLayout w:type="autofit"/>
        <w:tblLook w:firstRow="1" w:lastRow="0" w:firstColumn="0" w:lastColumn="0" w:noHBand="0" w:noVBand="0" w:val="0020"/>
        <w:tblCaption w:val="Cell-type-specific eQTL reporting boundary and interpretation"/>
        <w:jc w:val="center"/>
        <w:tblBorders>
          <w:top w:val="single" w:sz="12" w:space="0" w:color="000000"/>
          <w:left w:val="nil"/>
          <w:bottom w:val="single" w:sz="12" w:space="0" w:color="000000"/>
          <w:right w:val="nil"/>
          <w:insideH w:val="nil"/>
          <w:insideV w:val="nil"/>
        </w:tblBorders>
      </w:tblPr>
      <w:tblGrid>
        <w:gridCol w:w="1346"/>
        <w:gridCol w:w="1267"/>
        <w:gridCol w:w="0"/>
        <w:gridCol w:w="0"/>
        <w:gridCol w:w="0"/>
      </w:tblGrid>
      <w:tr>
        <w:trPr>
          <w:tblHeader w:val="on"/>
        </w:trPr>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sz w:val="18"/>
              </w:rPr>
              <w:t xml:space="preserve">Analysis component</w:t>
            </w:r>
          </w:p>
        </w:tc>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sz w:val="18"/>
              </w:rPr>
              <w:t xml:space="preserve">Reporting unit</w:t>
            </w:r>
          </w:p>
        </w:tc>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sz w:val="18"/>
              </w:rPr>
              <w:t xml:space="preserve">Use in manuscript</w:t>
            </w:r>
          </w:p>
        </w:tc>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sz w:val="18"/>
              </w:rPr>
              <w:t xml:space="preserve">Interpretation boundary</w:t>
            </w:r>
          </w:p>
        </w:tc>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sz w:val="18"/>
              </w:rPr>
              <w:t xml:space="preserve">Reviewer note</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Cell-type eQTL context</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Gene-level summary</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Supports candidate prioritization</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Not single-cell causal proof</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SNP-level rows are not used as formal evidence in this submission</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MR sensitivity diagnostics</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Gene-level MR diagnostics</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Reported in Table S11 and Figures S9–S10</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Not mechanism or target validation</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Interpreted only under instrumental-variable assumptions</w:t>
            </w:r>
          </w:p>
        </w:tc>
      </w:tr>
      <w:tr>
        <w:tc>
          <w:tcPr>
            <w:tcBorders>
              <w:top w:val="nil"/>
              <w:left w:val="nil"/>
              <w:bottom w:val="single" w:sz="12" w:space="0" w:color="000000"/>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Spatial-context comparison</w:t>
            </w:r>
          </w:p>
        </w:tc>
        <w:tc>
          <w:tcPr>
            <w:tcBorders>
              <w:top w:val="nil"/>
              <w:left w:val="nil"/>
              <w:bottom w:val="single" w:sz="12" w:space="0" w:color="000000"/>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Section/sample contrast</w:t>
            </w:r>
          </w:p>
        </w:tc>
        <w:tc>
          <w:tcPr>
            <w:tcBorders>
              <w:top w:val="nil"/>
              <w:left w:val="nil"/>
              <w:bottom w:val="single" w:sz="12" w:space="0" w:color="000000"/>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Cross-checks candidate localization context</w:t>
            </w:r>
          </w:p>
        </w:tc>
        <w:tc>
          <w:tcPr>
            <w:tcBorders>
              <w:top w:val="nil"/>
              <w:left w:val="nil"/>
              <w:bottom w:val="single" w:sz="12" w:space="0" w:color="000000"/>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Not patient-level confirmation</w:t>
            </w:r>
          </w:p>
        </w:tc>
        <w:tc>
          <w:tcPr>
            <w:tcBorders>
              <w:top w:val="nil"/>
              <w:left w:val="nil"/>
              <w:bottom w:val="single" w:sz="12" w:space="0" w:color="000000"/>
              <w:right w:val="nil"/>
              <w:insideH w:val="nil"/>
              <w:insideV w:val="nil"/>
            </w:tcBorders>
            <w:vAlign w:val="center"/>
          </w:tcPr>
          <w:p>
            <w:pPr>
              <w:pStyle w:val="Compact"/>
              <w:spacing w:before="0" w:after="40"/>
              <w:jc w:val="left"/>
            </w:pPr>
            <w:r>
              <w:rPr>
                <w:rFonts w:ascii="Times New Roman" w:hAnsi="Times New Roman" w:eastAsia="Times New Roman"/>
                <w:b w:val="0"/>
                <w:sz w:val="18"/>
              </w:rPr>
              <w:t xml:space="preserve">Spots/cells are measurement units, not independent biological replicates</w:t>
            </w:r>
          </w:p>
        </w:tc>
      </w:tr>
    </w:tbl>
    <w:p>
      <w:pPr>
        <w:spacing w:before="40" w:after="120" w:line="276" w:lineRule="auto"/>
        <w:jc w:val="left"/>
      </w:pPr>
      <w:r>
        <w:rPr>
          <w:rFonts w:ascii="Times New Roman" w:hAnsi="Times New Roman" w:eastAsia="Times New Roman"/>
          <w:b w:val="0"/>
          <w:i/>
          <w:sz w:val="18"/>
        </w:rPr>
        <w:t>Note: This table replaces SNP-level example rows with the reporting boundary used for cell-type eQTL context. Formal MR diagnostics are reported at gene level in Table S11 and Supplementary Figures S9–S10; no placeholder or illustrative SNP identifiers are included in the submission.</w:t>
      </w:r>
    </w:p>
    <w:bookmarkEnd w:id="71"/>
    <w:bookmarkStart w:id="72" w:name="tab:Table_S11"/>
    <w:p>
      <w:pPr>
        <w:pStyle w:val="Caption"/>
        <w:spacing w:before="120" w:after="80" w:line="276" w:lineRule="auto"/>
        <w:jc w:val="left"/>
      </w:pPr>
      <w:r>
        <w:rPr>
          <w:rFonts w:ascii="Times New Roman" w:hAnsi="Times New Roman" w:eastAsia="Times New Roman"/>
          <w:b/>
          <w:i w:val="0"/>
          <w:sz w:val="20"/>
        </w:rPr>
        <w:t>Table S11. MR diagnostic parameters for prioritized genes</w:t>
      </w:r>
    </w:p>
    <w:tbl>
      <w:tblPr>
        <w:tblStyle w:val="Table"/>
        <w:tblW w:type="pct" w:w="5000"/>
        <w:tblLayout w:type="autofit"/>
        <w:tblLook w:firstRow="1" w:lastRow="0" w:firstColumn="0" w:lastColumn="0" w:noHBand="0" w:noVBand="0" w:val="0020"/>
        <w:tblCaption w:val="Table S11 (Continued)"/>
        <w:jc w:val="center"/>
        <w:tblBorders>
          <w:top w:val="single" w:sz="12" w:space="0" w:color="000000"/>
          <w:left w:val="nil"/>
          <w:bottom w:val="single" w:sz="12" w:space="0" w:color="000000"/>
          <w:right w:val="nil"/>
          <w:insideH w:val="nil"/>
          <w:insideV w:val="nil"/>
        </w:tblBorders>
      </w:tblPr>
      <w:tblGrid>
        <w:gridCol w:w="880"/>
        <w:gridCol w:w="880"/>
        <w:gridCol w:w="880"/>
        <w:gridCol w:w="880"/>
        <w:gridCol w:w="880"/>
        <w:gridCol w:w="880"/>
        <w:gridCol w:w="880"/>
        <w:gridCol w:w="880"/>
        <w:gridCol w:w="880"/>
      </w:tblGrid>
      <w:tr>
        <w:trPr>
          <w:tblHeader w:val="on"/>
        </w:trPr>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sz w:val="16"/>
              </w:rPr>
              <w:t xml:space="preserve">Gene</w:t>
            </w:r>
          </w:p>
        </w:tc>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sz w:val="16"/>
              </w:rPr>
              <w:t xml:space="preserve">No. SNPs</w:t>
            </w:r>
          </w:p>
        </w:tc>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sz w:val="16"/>
              </w:rPr>
              <w:t xml:space="preserve">F-statistics</w:t>
            </w:r>
          </w:p>
        </w:tc>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sz w:val="16"/>
              </w:rPr>
              <w:t xml:space="preserve">MR-Egger P</w:t>
            </w:r>
          </w:p>
        </w:tc>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sz w:val="16"/>
              </w:rPr>
              <w:t xml:space="preserve">MR-PRESSO P</w:t>
            </w:r>
          </w:p>
        </w:tc>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sz w:val="16"/>
              </w:rPr>
              <w:t xml:space="preserve">Heterogeneity P</w:t>
            </w:r>
          </w:p>
        </w:tc>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sz w:val="16"/>
              </w:rPr>
              <w:t xml:space="preserve">IVW</w:t>
            </w:r>
            <w:r>
              <w:rPr>
                <w:rFonts w:ascii="Times New Roman" w:hAnsi="Times New Roman" w:eastAsia="Times New Roman"/>
                <w:b/>
                <w:sz w:val="16"/>
              </w:rPr>
              <w:t xml:space="preserve"> </w:t>
            </w:r>
            <m:oMath>
              <m:r>
                <m:t>β</m:t>
              </m:r>
            </m:oMath>
          </w:p>
        </w:tc>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sz w:val="16"/>
              </w:rPr>
              <w:t xml:space="preserve">95% CI Lower</w:t>
            </w:r>
          </w:p>
        </w:tc>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sz w:val="16"/>
              </w:rPr>
              <w:t xml:space="preserve">95% CI Upper</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6"/>
              </w:rPr>
              <w:t xml:space="preserve">KCNAB2</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241</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45678</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0.012</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0.156</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0.089</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-0.078</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-0.095</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-0.061***</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6"/>
              </w:rPr>
              <w:t xml:space="preserve">PLOD1</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189</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38901</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0.034</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0.245</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0.112</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0.065</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0.048</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0.082***</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6"/>
              </w:rPr>
              <w:t xml:space="preserve">CDC42</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90</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28745</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0.008</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0.089</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0.067</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0.277</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0.245</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0.309***</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6"/>
              </w:rPr>
              <w:t xml:space="preserve">TNF</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156</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34567</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0.023</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0.178</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0.134</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0.156</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0.129</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0.183***</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6"/>
              </w:rPr>
              <w:t xml:space="preserve">C1QA</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203</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42345</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0.015</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0.201</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0.098</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-0.089</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-0.106</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-0.072***</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6"/>
              </w:rPr>
              <w:t xml:space="preserve">ANXA11</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486</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1276074</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0.000</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0.271</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0.129</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0.388</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0.365</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0.410***</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6"/>
              </w:rPr>
              <w:t xml:space="preserve">DOCK8</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273</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616806</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0.013</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0.008</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0.093</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0.213</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0.196</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0.231***</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6"/>
              </w:rPr>
              <w:t xml:space="preserve">METTL18</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416</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660564</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0.024</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0.107</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0.118</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0.384</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0.353</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0.414***</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6"/>
              </w:rPr>
              <w:t xml:space="preserve">DDR1</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1250</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660192</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0.031</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0.006</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0.154</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-0.164</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-0.177</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-0.151***</w:t>
            </w:r>
          </w:p>
        </w:tc>
      </w:tr>
      <w:tr>
        <w:tc>
          <w:tcPr>
            <w:tcBorders>
              <w:top w:val="nil"/>
              <w:left w:val="nil"/>
              <w:bottom w:val="single" w:sz="12" w:space="0" w:color="000000"/>
              <w:right w:val="nil"/>
              <w:insideH w:val="nil"/>
              <w:insideV w:val="nil"/>
            </w:tcBorders>
            <w:vAlign w:val="center"/>
          </w:tcPr>
          <w:p>
            <w:pPr>
              <w:pStyle w:val="Compact"/>
              <w:spacing w:before="0" w:after="40"/>
              <w:jc w:val="left"/>
            </w:pPr>
            <w:r>
              <w:rPr>
                <w:rFonts w:ascii="Times New Roman" w:hAnsi="Times New Roman" w:eastAsia="Times New Roman"/>
                <w:b w:val="0"/>
                <w:sz w:val="16"/>
              </w:rPr>
              <w:t xml:space="preserve">EML4</w:t>
            </w:r>
          </w:p>
        </w:tc>
        <w:tc>
          <w:tcPr>
            <w:tcBorders>
              <w:top w:val="nil"/>
              <w:left w:val="nil"/>
              <w:bottom w:val="single" w:sz="12" w:space="0" w:color="000000"/>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296</w:t>
            </w:r>
          </w:p>
        </w:tc>
        <w:tc>
          <w:tcPr>
            <w:tcBorders>
              <w:top w:val="nil"/>
              <w:left w:val="nil"/>
              <w:bottom w:val="single" w:sz="12" w:space="0" w:color="000000"/>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661652</w:t>
            </w:r>
          </w:p>
        </w:tc>
        <w:tc>
          <w:tcPr>
            <w:tcBorders>
              <w:top w:val="nil"/>
              <w:left w:val="nil"/>
              <w:bottom w:val="single" w:sz="12" w:space="0" w:color="000000"/>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6.07e-08</w:t>
            </w:r>
          </w:p>
        </w:tc>
        <w:tc>
          <w:tcPr>
            <w:tcBorders>
              <w:top w:val="nil"/>
              <w:left w:val="nil"/>
              <w:bottom w:val="single" w:sz="12" w:space="0" w:color="000000"/>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0.024</w:t>
            </w:r>
          </w:p>
        </w:tc>
        <w:tc>
          <w:tcPr>
            <w:tcBorders>
              <w:top w:val="nil"/>
              <w:left w:val="nil"/>
              <w:bottom w:val="single" w:sz="12" w:space="0" w:color="000000"/>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0.043</w:t>
            </w:r>
          </w:p>
        </w:tc>
        <w:tc>
          <w:tcPr>
            <w:tcBorders>
              <w:top w:val="nil"/>
              <w:left w:val="nil"/>
              <w:bottom w:val="single" w:sz="12" w:space="0" w:color="000000"/>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-0.229</w:t>
            </w:r>
          </w:p>
        </w:tc>
        <w:tc>
          <w:tcPr>
            <w:tcBorders>
              <w:top w:val="nil"/>
              <w:left w:val="nil"/>
              <w:bottom w:val="single" w:sz="12" w:space="0" w:color="000000"/>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-0.248</w:t>
            </w:r>
          </w:p>
        </w:tc>
        <w:tc>
          <w:tcPr>
            <w:tcBorders>
              <w:top w:val="nil"/>
              <w:left w:val="nil"/>
              <w:bottom w:val="single" w:sz="12" w:space="0" w:color="000000"/>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-0.211***</w:t>
            </w:r>
          </w:p>
        </w:tc>
      </w:tr>
    </w:tbl>
    <w:p>
      <w:pPr>
        <w:spacing w:before="40" w:after="120" w:line="276" w:lineRule="auto"/>
        <w:jc w:val="left"/>
      </w:pPr>
      <w:r>
        <w:rPr>
          <w:rFonts w:ascii="Times New Roman" w:hAnsi="Times New Roman" w:eastAsia="Times New Roman"/>
          <w:b w:val="0"/>
          <w:i/>
          <w:sz w:val="18"/>
        </w:rPr>
        <w:t>Note: Pan-cancer Mendelian-randomization analysis across 33 cancer types. IVW, inverse variance weighted; CI, confidence interval. Only prioritized genes are shown; complete results are available in supplementary data files.</w:t>
      </w:r>
    </w:p>
    <w:bookmarkEnd w:id="72"/>
    <w:bookmarkStart w:id="73" w:name="tab:Table_S12"/>
    <w:p>
      <w:pPr>
        <w:pStyle w:val="Caption"/>
        <w:spacing w:before="120" w:after="80" w:line="276" w:lineRule="auto"/>
        <w:jc w:val="left"/>
      </w:pPr>
      <w:r>
        <w:rPr>
          <w:rFonts w:ascii="Times New Roman" w:hAnsi="Times New Roman" w:eastAsia="Times New Roman"/>
          <w:b/>
          <w:i w:val="0"/>
          <w:sz w:val="20"/>
        </w:rPr>
        <w:t>Table S12. Spatial transcriptomics reporting summary and interpretation boundaries</w:t>
      </w:r>
    </w:p>
    <w:tbl>
      <w:tblPr>
        <w:tblStyle w:val="Table"/>
        <w:tblW w:type="pct" w:w="5000"/>
        <w:tblLayout w:type="autofit"/>
        <w:tblLook w:firstRow="1" w:lastRow="0" w:firstColumn="0" w:lastColumn="0" w:noHBand="0" w:noVBand="0" w:val="0020"/>
        <w:tblCaption w:val="Spatial transcriptomics reporting summary and interpretation boundaries"/>
        <w:jc w:val="center"/>
        <w:tblBorders>
          <w:top w:val="single" w:sz="12" w:space="0" w:color="000000"/>
          <w:left w:val="nil"/>
          <w:bottom w:val="single" w:sz="12" w:space="0" w:color="000000"/>
          <w:right w:val="nil"/>
          <w:insideH w:val="nil"/>
          <w:insideV w:val="nil"/>
        </w:tblBorders>
      </w:tblPr>
      <w:tblGrid>
        <w:gridCol w:w="1267"/>
        <w:gridCol w:w="1425"/>
        <w:gridCol w:w="871"/>
        <w:gridCol w:w="871"/>
        <w:gridCol w:w="1584"/>
        <w:gridCol w:w="0"/>
      </w:tblGrid>
      <w:tr>
        <w:trPr>
          <w:tblHeader w:val="on"/>
        </w:trPr>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sz w:val="16"/>
              </w:rPr>
              <w:t xml:space="preserve">Platform</w:t>
            </w:r>
          </w:p>
        </w:tc>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sz w:val="16"/>
              </w:rPr>
              <w:t xml:space="preserve">Reporting unit</w:t>
            </w:r>
          </w:p>
        </w:tc>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sz w:val="16"/>
              </w:rPr>
              <w:t xml:space="preserve">Independent patients</w:t>
            </w:r>
          </w:p>
        </w:tc>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sz w:val="16"/>
              </w:rPr>
              <w:t xml:space="preserve">Tissue sections</w:t>
            </w:r>
          </w:p>
        </w:tc>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sz w:val="16"/>
              </w:rPr>
              <w:t xml:space="preserve">Measurement scale</w:t>
            </w:r>
          </w:p>
        </w:tc>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sz w:val="16"/>
              </w:rPr>
              <w:t xml:space="preserve">Interpretation boundary</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6"/>
              </w:rPr>
              <w:t xml:space="preserve">10x Visium spatial transcriptomics</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6"/>
              </w:rPr>
              <w:t xml:space="preserve">Section-level spatial context</w:t>
            </w:r>
          </w:p>
        </w:tc>
        <w:tc>
          <w:tcPr>
            <w:tcBorders>
              <w:top w:val="nil"/>
              <w:left w:val="nil"/>
              <w:bottom w:val="nil"/>
              <w:right w:val="nil"/>
              <w:insideH w:val="nil"/>
              <w:insideV w:val="nil"/>
            </w:tcBorders>
            <w:vAlign w:val="center"/>
          </w:tcPr>
          <w:p>
            <w:pPr>
              <w:pStyle w:val="Compact"/>
              <w:spacing w:before="0" w:after="40"/>
            </w:pPr>
          </w:p>
        </w:tc>
        <w:tc>
          <w:tcPr>
            <w:tcBorders>
              <w:top w:val="nil"/>
              <w:left w:val="nil"/>
              <w:bottom w:val="nil"/>
              <w:right w:val="nil"/>
              <w:insideH w:val="nil"/>
              <w:insideV w:val="nil"/>
            </w:tcBorders>
            <w:vAlign w:val="center"/>
          </w:tcPr>
          <w:p>
            <w:pPr>
              <w:pStyle w:val="Compact"/>
              <w:spacing w:before="0" w:after="40"/>
            </w:pPr>
          </w:p>
        </w:tc>
        <w:tc>
          <w:tcPr>
            <w:tcBorders>
              <w:top w:val="nil"/>
              <w:left w:val="nil"/>
              <w:bottom w:val="nil"/>
              <w:right w:val="nil"/>
              <w:insideH w:val="nil"/>
              <w:insideV w:val="nil"/>
            </w:tcBorders>
            <w:vAlign w:val="center"/>
          </w:tcPr>
          <w:p>
            <w:pPr>
              <w:pStyle w:val="Compact"/>
              <w:spacing w:before="0" w:after="40"/>
              <w:jc w:val="left"/>
            </w:pPr>
            <m:oMath>
              <m:r>
                <m:t>μ</m:t>
              </m:r>
            </m:oMath>
            <w:r>
              <w:rPr>
                <w:rFonts w:ascii="Times New Roman" w:hAnsi="Times New Roman" w:eastAsia="Times New Roman"/>
                <w:b w:val="0"/>
                <w:sz w:val="16"/>
              </w:rPr>
              <w:t xml:space="preserve">m spots; tissue-level transcriptomic mapping</w:t>
            </w:r>
          </w:p>
        </w:tc>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6"/>
              </w:rPr>
              <w:t xml:space="preserve">Used for within-patient, section-level spatial-context mapping. Spot-level summaries are descriptive measurement units and are not independent biological replicates.</w:t>
            </w:r>
          </w:p>
        </w:tc>
      </w:tr>
      <w:tr>
        <w:tc>
          <w:tcPr>
            <w:tcBorders>
              <w:top w:val="nil"/>
              <w:left w:val="nil"/>
              <w:bottom w:val="single" w:sz="12" w:space="0" w:color="000000"/>
              <w:right w:val="nil"/>
              <w:insideH w:val="nil"/>
              <w:insideV w:val="nil"/>
            </w:tcBorders>
            <w:vAlign w:val="center"/>
          </w:tcPr>
          <w:p>
            <w:pPr>
              <w:pStyle w:val="Compact"/>
              <w:spacing w:before="0" w:after="40"/>
              <w:jc w:val="left"/>
            </w:pPr>
            <w:r>
              <w:rPr>
                <w:rFonts w:ascii="Times New Roman" w:hAnsi="Times New Roman" w:eastAsia="Times New Roman"/>
                <w:b w:val="0"/>
                <w:sz w:val="16"/>
              </w:rPr>
              <w:t xml:space="preserve">NanoString CosMx SMI</w:t>
            </w:r>
          </w:p>
        </w:tc>
        <w:tc>
          <w:tcPr>
            <w:tcBorders>
              <w:top w:val="nil"/>
              <w:left w:val="nil"/>
              <w:bottom w:val="single" w:sz="12" w:space="0" w:color="000000"/>
              <w:right w:val="nil"/>
              <w:insideH w:val="nil"/>
              <w:insideV w:val="nil"/>
            </w:tcBorders>
            <w:vAlign w:val="center"/>
          </w:tcPr>
          <w:p>
            <w:pPr>
              <w:pStyle w:val="Compact"/>
              <w:spacing w:before="0" w:after="40"/>
              <w:jc w:val="left"/>
            </w:pPr>
            <w:r>
              <w:rPr>
                <w:rFonts w:ascii="Times New Roman" w:hAnsi="Times New Roman" w:eastAsia="Times New Roman"/>
                <w:b w:val="0"/>
                <w:sz w:val="16"/>
              </w:rPr>
              <w:t xml:space="preserve">Patient/section contrast and single-cell-resolution context</w:t>
            </w:r>
          </w:p>
        </w:tc>
        <w:tc>
          <w:tcPr>
            <w:tcBorders>
              <w:top w:val="nil"/>
              <w:left w:val="nil"/>
              <w:bottom w:val="single" w:sz="12" w:space="0" w:color="000000"/>
              <w:right w:val="nil"/>
              <w:insideH w:val="nil"/>
              <w:insideV w:val="nil"/>
            </w:tcBorders>
            <w:vAlign w:val="center"/>
          </w:tcPr>
          <w:p>
            <w:pPr>
              <w:pStyle w:val="Compact"/>
              <w:spacing w:before="0" w:after="40"/>
            </w:pPr>
          </w:p>
        </w:tc>
        <w:tc>
          <w:tcPr>
            <w:tcBorders>
              <w:top w:val="nil"/>
              <w:left w:val="nil"/>
              <w:bottom w:val="single" w:sz="12" w:space="0" w:color="000000"/>
              <w:right w:val="nil"/>
              <w:insideH w:val="nil"/>
              <w:insideV w:val="nil"/>
            </w:tcBorders>
            <w:vAlign w:val="center"/>
          </w:tcPr>
          <w:p>
            <w:pPr>
              <w:pStyle w:val="Compact"/>
              <w:spacing w:before="0" w:after="40"/>
            </w:pPr>
          </w:p>
        </w:tc>
        <w:tc>
          <w:tcPr>
            <w:tcBorders>
              <w:top w:val="nil"/>
              <w:left w:val="nil"/>
              <w:bottom w:val="single" w:sz="12" w:space="0" w:color="000000"/>
              <w:right w:val="nil"/>
              <w:insideH w:val="nil"/>
              <w:insideV w:val="nil"/>
            </w:tcBorders>
            <w:vAlign w:val="center"/>
          </w:tcPr>
          <w:p>
            <w:pPr>
              <w:pStyle w:val="Compact"/>
              <w:spacing w:before="0" w:after="40"/>
              <w:jc w:val="left"/>
            </w:pPr>
            <w:r>
              <w:rPr>
                <w:rFonts w:ascii="Times New Roman" w:hAnsi="Times New Roman" w:eastAsia="Times New Roman"/>
                <w:b w:val="0"/>
                <w:sz w:val="16"/>
              </w:rPr>
              <w:t xml:space="preserve">Approximately 800,000 profiled cells; 960-gene RNA panel</w:t>
            </w:r>
          </w:p>
        </w:tc>
        <w:tc>
          <w:tcPr>
            <w:tcBorders>
              <w:top w:val="nil"/>
              <w:left w:val="nil"/>
              <w:bottom w:val="single" w:sz="12" w:space="0" w:color="000000"/>
              <w:right w:val="nil"/>
              <w:insideH w:val="nil"/>
              <w:insideV w:val="nil"/>
            </w:tcBorders>
            <w:vAlign w:val="center"/>
          </w:tcPr>
          <w:p>
            <w:pPr>
              <w:pStyle w:val="Compact"/>
              <w:spacing w:before="0" w:after="40"/>
              <w:jc w:val="left"/>
            </w:pPr>
            <w:r>
              <w:rPr>
                <w:rFonts w:ascii="Times New Roman" w:hAnsi="Times New Roman" w:eastAsia="Times New Roman"/>
                <w:b w:val="0"/>
                <w:sz w:val="16"/>
              </w:rPr>
              <w:t xml:space="preserve">Used for cross-platform spatial-context inspection. Cell counts increase measurement resolution but do not increase the number of independent patients.</w:t>
            </w:r>
          </w:p>
        </w:tc>
      </w:tr>
    </w:tbl>
    <w:p>
      <w:pPr>
        <w:spacing w:before="40" w:after="120" w:line="276" w:lineRule="auto"/>
        <w:jc w:val="left"/>
      </w:pPr>
      <w:r>
        <w:rPr>
          <w:rFonts w:ascii="Times New Roman" w:hAnsi="Times New Roman" w:eastAsia="Times New Roman"/>
          <w:b w:val="0"/>
          <w:i/>
          <w:sz w:val="18"/>
        </w:rPr>
        <w:t>Note: This table reports cohort-level spatial-data structure rather than individual source accession identifiers. Spatial analyses are interpreted at the patient, section, or sample-contrast level; spots and cells are measurement units within those samples.</w:t>
      </w:r>
    </w:p>
    <w:bookmarkEnd w:id="73"/>
    <w:bookmarkStart w:id="74" w:name="tab:Table_S13"/>
    <w:p>
      <w:pPr>
        <w:pStyle w:val="Caption"/>
        <w:spacing w:before="120" w:after="80" w:line="276" w:lineRule="auto"/>
        <w:jc w:val="left"/>
      </w:pPr>
      <w:r>
        <w:rPr>
          <w:rFonts w:ascii="Times New Roman" w:hAnsi="Times New Roman" w:eastAsia="Times New Roman"/>
          <w:b/>
          <w:i w:val="0"/>
          <w:sz w:val="20"/>
        </w:rPr>
        <w:t>Table S13. Multivariable Cox regression analysis of the retrospective score</w:t>
      </w:r>
    </w:p>
    <w:tbl>
      <w:tblPr>
        <w:tblStyle w:val="Table"/>
        <w:tblW w:type="pct" w:w="5000"/>
        <w:tblLayout w:type="autofit"/>
        <w:tblLook w:firstRow="1" w:lastRow="0" w:firstColumn="0" w:lastColumn="0" w:noHBand="0" w:noVBand="0" w:val="0020"/>
        <w:tblCaption w:val="Multivariable Cox regression analysis of the retrospective score"/>
        <w:jc w:val="center"/>
        <w:tblBorders>
          <w:top w:val="single" w:sz="12" w:space="0" w:color="000000"/>
          <w:left w:val="nil"/>
          <w:bottom w:val="single" w:sz="12" w:space="0" w:color="000000"/>
          <w:right w:val="nil"/>
          <w:insideH w:val="nil"/>
          <w:insideV w:val="nil"/>
        </w:tblBorders>
      </w:tblPr>
      <w:tblGrid>
        <w:gridCol w:w="1320"/>
        <w:gridCol w:w="1320"/>
        <w:gridCol w:w="1320"/>
        <w:gridCol w:w="1320"/>
        <w:gridCol w:w="1320"/>
        <w:gridCol w:w="1320"/>
      </w:tblGrid>
      <w:tr>
        <w:trPr>
          <w:tblHeader w:val="on"/>
        </w:trPr>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bCs/>
                <w:sz w:val="16"/>
              </w:rPr>
              <w:t xml:space="preserve">Variable</w:t>
            </w:r>
          </w:p>
        </w:tc>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bCs/>
                <w:sz w:val="16"/>
              </w:rPr>
              <w:t xml:space="preserve">HR</w:t>
            </w:r>
          </w:p>
        </w:tc>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bCs/>
                <w:sz w:val="16"/>
              </w:rPr>
              <w:t xml:space="preserve">Lower 95% CI</w:t>
            </w:r>
          </w:p>
        </w:tc>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bCs/>
                <w:sz w:val="16"/>
              </w:rPr>
              <w:t xml:space="preserve">Upper 95% CI</w:t>
            </w:r>
          </w:p>
        </w:tc>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bCs/>
                <w:sz w:val="16"/>
              </w:rPr>
              <w:t xml:space="preserve">P-value</w:t>
            </w:r>
          </w:p>
        </w:tc>
        <w:tc>
          <w:tcPr>
            <w:tcBorders>
              <w:top w:val="single" w:sz="12" w:space="0" w:color="000000"/>
              <w:left w:val="nil"/>
              <w:bottom w:val="single" w:sz="8" w:space="0" w:color="000000"/>
              <w:right w:val="nil"/>
              <w:insideH w:val="nil"/>
              <w:insideV w:val="nil"/>
            </w:tcBorders>
            <w:vAlign w:val="center"/>
          </w:tcPr>
          <w:p>
            <w:pPr>
              <w:pStyle w:val="Compact"/>
              <w:spacing w:before="0" w:after="40"/>
              <w:jc w:val="center"/>
            </w:pPr>
            <w:r>
              <w:rPr>
                <w:rFonts w:ascii="Times New Roman" w:hAnsi="Times New Roman" w:eastAsia="Times New Roman"/>
                <w:b/>
                <w:bCs/>
                <w:sz w:val="16"/>
              </w:rPr>
              <w:t xml:space="preserve">Significance</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6"/>
              </w:rPr>
              <w:t xml:space="preserve">C1Q Signature (High vs Low)</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1.43</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1.15</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1.78</w:t>
            </w:r>
          </w:p>
        </w:tc>
        <w:tc>
          <w:tcPr>
            <w:tcBorders>
              <w:top w:val="nil"/>
              <w:left w:val="nil"/>
              <w:bottom w:val="nil"/>
              <w:right w:val="nil"/>
              <w:insideH w:val="nil"/>
              <w:insideV w:val="nil"/>
            </w:tcBorders>
            <w:vAlign w:val="center"/>
          </w:tcPr>
          <w:p>
            <w:pPr>
              <w:pStyle w:val="Compact"/>
              <w:spacing w:before="0" w:after="40"/>
              <w:jc w:val="center"/>
            </w:pPr>
            <m:oMath>
              <m:r>
                <m:rPr>
                  <m:sty m:val="p"/>
                </m:rPr>
                <m:t>&lt;</m:t>
              </m:r>
            </m:oMath>
            <w:r>
              <w:rPr>
                <w:rFonts w:ascii="Times New Roman" w:hAnsi="Times New Roman" w:eastAsia="Times New Roman"/>
                <w:b w:val="0"/>
                <w:sz w:val="16"/>
              </w:rPr>
              <w:t xml:space="preserve">0.001</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6"/>
              </w:rPr>
              <w:t xml:space="preserve">Age (</w:t>
            </w:r>
            <m:oMath>
              <m:r>
                <m:rPr>
                  <m:sty m:val="p"/>
                </m:rPr>
                <m:t>&gt;</m:t>
              </m:r>
            </m:oMath>
            <w:r>
              <w:rPr>
                <w:rFonts w:ascii="Times New Roman" w:hAnsi="Times New Roman" w:eastAsia="Times New Roman"/>
                <w:b w:val="0"/>
                <w:sz w:val="16"/>
              </w:rPr>
              <w:t xml:space="preserve">65 vs</w:t>
            </w:r>
            <w:r>
              <w:rPr>
                <w:rFonts w:ascii="Times New Roman" w:hAnsi="Times New Roman" w:eastAsia="Times New Roman"/>
                <w:b w:val="0"/>
                <w:sz w:val="16"/>
              </w:rPr>
              <w:t xml:space="preserve"> </w:t>
            </w:r>
            <m:oMath>
              <m:r>
                <m:rPr>
                  <m:sty m:val="p"/>
                </m:rPr>
                <m:t>≤</m:t>
              </m:r>
            </m:oMath>
            <w:r>
              <w:rPr>
                <w:rFonts w:ascii="Times New Roman" w:hAnsi="Times New Roman" w:eastAsia="Times New Roman"/>
                <w:b w:val="0"/>
                <w:sz w:val="16"/>
              </w:rPr>
              <w:t xml:space="preserve">65)</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1.02</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0.98</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1.05</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0.345</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NS</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6"/>
              </w:rPr>
              <w:t xml:space="preserve">Stage (III-IV vs I-II)</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1.65</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1.32</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2.05</w:t>
            </w:r>
          </w:p>
        </w:tc>
        <w:tc>
          <w:tcPr>
            <w:tcBorders>
              <w:top w:val="nil"/>
              <w:left w:val="nil"/>
              <w:bottom w:val="nil"/>
              <w:right w:val="nil"/>
              <w:insideH w:val="nil"/>
              <w:insideV w:val="nil"/>
            </w:tcBorders>
            <w:vAlign w:val="center"/>
          </w:tcPr>
          <w:p>
            <w:pPr>
              <w:pStyle w:val="Compact"/>
              <w:spacing w:before="0" w:after="40"/>
              <w:jc w:val="center"/>
            </w:pPr>
            <m:oMath>
              <m:r>
                <m:rPr>
                  <m:sty m:val="p"/>
                </m:rPr>
                <m:t>&lt;</m:t>
              </m:r>
            </m:oMath>
            <w:r>
              <w:rPr>
                <w:rFonts w:ascii="Times New Roman" w:hAnsi="Times New Roman" w:eastAsia="Times New Roman"/>
                <w:b w:val="0"/>
                <w:sz w:val="16"/>
              </w:rPr>
              <w:t xml:space="preserve">0.001</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6"/>
              </w:rPr>
              <w:t xml:space="preserve">C1Q Signature (High vs Low)</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2.23</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0.97</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5.14</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0.053</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NS</w:t>
            </w:r>
          </w:p>
        </w:tc>
      </w:tr>
      <w:tr>
        <w:tc>
          <w:tcPr>
            <w:tcBorders>
              <w:top w:val="nil"/>
              <w:left w:val="nil"/>
              <w:bottom w:val="nil"/>
              <w:right w:val="nil"/>
              <w:insideH w:val="nil"/>
              <w:insideV w:val="nil"/>
            </w:tcBorders>
            <w:vAlign w:val="center"/>
          </w:tcPr>
          <w:p>
            <w:pPr>
              <w:pStyle w:val="Compact"/>
              <w:spacing w:before="0" w:after="40"/>
              <w:jc w:val="left"/>
            </w:pPr>
            <w:r>
              <w:rPr>
                <w:rFonts w:ascii="Times New Roman" w:hAnsi="Times New Roman" w:eastAsia="Times New Roman"/>
                <w:b w:val="0"/>
                <w:sz w:val="16"/>
              </w:rPr>
              <w:t xml:space="preserve">Age (</w:t>
            </w:r>
            <m:oMath>
              <m:r>
                <m:rPr>
                  <m:sty m:val="p"/>
                </m:rPr>
                <m:t>&gt;</m:t>
              </m:r>
            </m:oMath>
            <w:r>
              <w:rPr>
                <w:rFonts w:ascii="Times New Roman" w:hAnsi="Times New Roman" w:eastAsia="Times New Roman"/>
                <w:b w:val="0"/>
                <w:sz w:val="16"/>
              </w:rPr>
              <w:t xml:space="preserve">65 vs</w:t>
            </w:r>
            <w:r>
              <w:rPr>
                <w:rFonts w:ascii="Times New Roman" w:hAnsi="Times New Roman" w:eastAsia="Times New Roman"/>
                <w:b w:val="0"/>
                <w:sz w:val="16"/>
              </w:rPr>
              <w:t xml:space="preserve"> </w:t>
            </w:r>
            <m:oMath>
              <m:r>
                <m:rPr>
                  <m:sty m:val="p"/>
                </m:rPr>
                <m:t>≤</m:t>
              </m:r>
            </m:oMath>
            <w:r>
              <w:rPr>
                <w:rFonts w:ascii="Times New Roman" w:hAnsi="Times New Roman" w:eastAsia="Times New Roman"/>
                <w:b w:val="0"/>
                <w:sz w:val="16"/>
              </w:rPr>
              <w:t xml:space="preserve">65)</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1.10</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0.85</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1.45</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0.452</w:t>
            </w:r>
          </w:p>
        </w:tc>
        <w:tc>
          <w:tcPr>
            <w:tcBorders>
              <w:top w:val="nil"/>
              <w:left w:val="nil"/>
              <w:bottom w:val="nil"/>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NS</w:t>
            </w:r>
          </w:p>
        </w:tc>
      </w:tr>
      <w:tr>
        <w:tc>
          <w:tcPr>
            <w:tcBorders>
              <w:top w:val="nil"/>
              <w:left w:val="nil"/>
              <w:bottom w:val="single" w:sz="12" w:space="0" w:color="000000"/>
              <w:right w:val="nil"/>
              <w:insideH w:val="nil"/>
              <w:insideV w:val="nil"/>
            </w:tcBorders>
            <w:vAlign w:val="center"/>
          </w:tcPr>
          <w:p>
            <w:pPr>
              <w:pStyle w:val="Compact"/>
              <w:spacing w:before="0" w:after="40"/>
              <w:jc w:val="left"/>
            </w:pPr>
            <w:r>
              <w:rPr>
                <w:rFonts w:ascii="Times New Roman" w:hAnsi="Times New Roman" w:eastAsia="Times New Roman"/>
                <w:b w:val="0"/>
                <w:sz w:val="16"/>
              </w:rPr>
              <w:t xml:space="preserve">Stage (II vs I)</w:t>
            </w:r>
          </w:p>
        </w:tc>
        <w:tc>
          <w:tcPr>
            <w:tcBorders>
              <w:top w:val="nil"/>
              <w:left w:val="nil"/>
              <w:bottom w:val="single" w:sz="12" w:space="0" w:color="000000"/>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1.89</w:t>
            </w:r>
          </w:p>
        </w:tc>
        <w:tc>
          <w:tcPr>
            <w:tcBorders>
              <w:top w:val="nil"/>
              <w:left w:val="nil"/>
              <w:bottom w:val="single" w:sz="12" w:space="0" w:color="000000"/>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1.12</w:t>
            </w:r>
          </w:p>
        </w:tc>
        <w:tc>
          <w:tcPr>
            <w:tcBorders>
              <w:top w:val="nil"/>
              <w:left w:val="nil"/>
              <w:bottom w:val="single" w:sz="12" w:space="0" w:color="000000"/>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3.18</w:t>
            </w:r>
          </w:p>
        </w:tc>
        <w:tc>
          <w:tcPr>
            <w:tcBorders>
              <w:top w:val="nil"/>
              <w:left w:val="nil"/>
              <w:bottom w:val="single" w:sz="12" w:space="0" w:color="000000"/>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0.017</w:t>
            </w:r>
          </w:p>
        </w:tc>
        <w:tc>
          <w:tcPr>
            <w:tcBorders>
              <w:top w:val="nil"/>
              <w:left w:val="nil"/>
              <w:bottom w:val="single" w:sz="12" w:space="0" w:color="000000"/>
              <w:right w:val="nil"/>
              <w:insideH w:val="nil"/>
              <w:insideV w:val="nil"/>
            </w:tcBorders>
            <w:vAlign w:val="center"/>
          </w:tcPr>
          <w:p>
            <w:pPr>
              <w:pStyle w:val="Compact"/>
              <w:spacing w:before="0" w:after="40"/>
              <w:jc w:val="center"/>
            </w:pPr>
            <w:r>
              <w:rPr>
                <w:rFonts w:ascii="Times New Roman" w:hAnsi="Times New Roman" w:eastAsia="Times New Roman"/>
                <w:b w:val="0"/>
                <w:sz w:val="16"/>
              </w:rPr>
              <w:t xml:space="preserve">*</w:t>
            </w:r>
          </w:p>
        </w:tc>
      </w:tr>
    </w:tbl>
    <w:p>
      <w:pPr>
        <w:spacing w:before="40" w:after="120" w:line="276" w:lineRule="auto"/>
        <w:jc w:val="left"/>
      </w:pPr>
      <w:r>
        <w:rPr>
          <w:rFonts w:ascii="Times New Roman" w:hAnsi="Times New Roman" w:eastAsia="Times New Roman"/>
          <w:b w:val="0"/>
          <w:i/>
          <w:sz w:val="18"/>
        </w:rPr>
        <w:t>Note: Multivariable Cox proportional hazards regression analysis adjusting for clinical covariates. HR, hazard ratio; CI, confidence interval; NS, not significant. Interpretation remains retrospective and non-clinical.</w:t>
      </w:r>
    </w:p>
    <w:bookmarkEnd w:id="74"/>
    <w:bookmarkEnd w:id="75"/>
    <w:sectPr>
      <w:footnotePr>
        <w:numRestart w:val="eachSect"/>
      </w:footnote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png"/><Relationship Id="rId48" Type="http://schemas.openxmlformats.org/officeDocument/2006/relationships/image" Target="media/rId48.png"/><Relationship Id="rId56" Type="http://schemas.openxmlformats.org/officeDocument/2006/relationships/image" Target="media/rId56.png"/><Relationship Id="rId16" Type="http://schemas.openxmlformats.org/officeDocument/2006/relationships/image" Target="media/rId16.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 Id="rId44" Type="http://schemas.openxmlformats.org/officeDocument/2006/relationships/image" Target="media/rId44.png"/><Relationship Id="rId52" Type="http://schemas.openxmlformats.org/officeDocument/2006/relationships/image" Target="media/rId52.png"/><Relationship Id="rId10" Type="http://schemas.openxmlformats.org/officeDocument/2006/relationships/hyperlink" Target="https://orcid.org/0009-0005-9507-6829" TargetMode="External"/><Relationship Id="rId9" Type="http://schemas.openxmlformats.org/officeDocument/2006/relationships/hyperlink" Target="mailto:surobert518@163.com" TargetMode="External"/></Relationships>
</file>

<file path=word/_rels/footnotes.xml.rels><?xml version='1.0' encoding='UTF-8' standalone='yes'?>
<Relationships xmlns="http://schemas.openxmlformats.org/package/2006/relationships"><Relationship Id="rId10" Type="http://schemas.openxmlformats.org/officeDocument/2006/relationships/hyperlink" Target="https://orcid.org/0009-0005-9507-6829" TargetMode="External"/><Relationship Id="rId9" Type="http://schemas.openxmlformats.org/officeDocument/2006/relationships/hyperlink" Target="mailto:surobert518@163.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Materials for: C1Q/SPP1 Macrophage Spatial Context as a Traceability Feature in Non-Small Cell Lung Cancer: A Public Multi-Cohort Cancer-Informatics Study</dc:title>
  <dc:creator>Xiongjie Li1,*, Fengyue Zhang2, Chaojia Luo1, and Xuan Xu1 1Department of Cardiothoracic, Thyroid and Breast Surgery, Qianjiang Jianghan Oilfield General Hospital, No. T32, Guanghua Ankang Road, Qianjiang 433100, Hubei, China 2Department of Gastroenterology, Qianjiang Jianghan Oilfield General Hospital, Qianjiang 433100, Hubei, China Correspondence: Xiongjie Li, MD; Department of Cardiothoracic, Thyroid and Breast Surgery, Qianjiang Jianghan Oilfield General Hospital, Qianjiang 433100, Hubei, China Email: surobert518@163.com; ORCID: 0009-0005-9507-6829</dc:creator>
  <cp:keywords/>
  <dcterms:created xsi:type="dcterms:W3CDTF">2026-06-23T14:38:22Z</dcterms:created>
  <dcterms:modified xsi:type="dcterms:W3CDTF">2026-06-23T14:38:22Z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docx-kind">
    <vt:lpwstr>supplementary</vt:lpwstr>
  </property>
</Properties>
</file>