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C1Q/SPP1 Macrophage Spatial Context as a Traceability Feature in Non-Small Cell Lung Cancer: A Public Multi-Cohort Cancer-Informatics Study</w:t>
      </w:r>
    </w:p>
    <w:bookmarkStart w:id="10" w:name="X43ba11093772ab39d1c6e7aae5420434ade6a43"/>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bookmarkStart w:id="9" w:name="abstract"/>
    <w:p>
      <w:pPr>
        <w:pStyle w:val="Heading2"/>
        <w:spacing w:line="276" w:lineRule="auto"/>
      </w:pPr>
      <w:r>
        <w:rPr>
          <w:rFonts w:ascii="Times New Roman" w:hAnsi="Times New Roman" w:eastAsia="Times New Roman"/>
          <w:b/>
          <w:sz w:val="24"/>
        </w:rPr>
        <w:t xml:space="preserve">Abstract</w:t>
      </w:r>
    </w:p>
    <w:p>
      <w:pPr>
        <w:pStyle w:val="FirstParagraph"/>
        <w:spacing w:line="276" w:lineRule="auto"/>
      </w:pPr>
      <w:r>
        <w:rPr>
          <w:rFonts w:ascii="Times New Roman" w:hAnsi="Times New Roman" w:eastAsia="Times New Roman"/>
          <w:b/>
          <w:bCs/>
          <w:sz w:val="22"/>
        </w:rPr>
        <w:t xml:space="preserve">Objectives:</w:t>
      </w:r>
      <w:r>
        <w:rPr>
          <w:rFonts w:ascii="Times New Roman" w:hAnsi="Times New Roman" w:eastAsia="Times New Roman"/>
          <w:sz w:val="22"/>
        </w:rPr>
        <w:t xml:space="preserve"> </w:t>
      </w:r>
      <w:r>
        <w:rPr>
          <w:rFonts w:ascii="Times New Roman" w:hAnsi="Times New Roman" w:eastAsia="Times New Roman"/>
          <w:sz w:val="22"/>
        </w:rP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spacing w:line="276" w:lineRule="auto"/>
      </w:pPr>
      <w:r>
        <w:rPr>
          <w:rFonts w:ascii="Times New Roman" w:hAnsi="Times New Roman" w:eastAsia="Times New Roman"/>
          <w:b/>
          <w:bCs/>
          <w:sz w:val="22"/>
        </w:rPr>
        <w:t xml:space="preserve">Methods:</w:t>
      </w:r>
      <w:r>
        <w:rPr>
          <w:rFonts w:ascii="Times New Roman" w:hAnsi="Times New Roman" w:eastAsia="Times New Roman"/>
          <w:sz w:val="22"/>
        </w:rPr>
        <w:t xml:space="preserve"> </w:t>
      </w:r>
      <w:r>
        <w:rPr>
          <w:rFonts w:ascii="Times New Roman" w:hAnsi="Times New Roman" w:eastAsia="Times New Roman"/>
          <w:sz w:val="22"/>
        </w:rP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spacing w:line="276" w:lineRule="auto"/>
      </w:pPr>
      <w:r>
        <w:rPr>
          <w:rFonts w:ascii="Times New Roman" w:hAnsi="Times New Roman" w:eastAsia="Times New Roman"/>
          <w:b/>
          <w:bCs/>
          <w:sz w:val="22"/>
        </w:rPr>
        <w:t xml:space="preserve">Results:</w:t>
      </w:r>
      <w:r>
        <w:rPr>
          <w:rFonts w:ascii="Times New Roman" w:hAnsi="Times New Roman" w:eastAsia="Times New Roman"/>
          <w:sz w:val="22"/>
        </w:rPr>
        <w:t xml:space="preserve"> </w:t>
      </w:r>
      <w:r>
        <w:rPr>
          <w:rFonts w:ascii="Times New Roman" w:hAnsi="Times New Roman" w:eastAsia="Times New Roman"/>
          <w:sz w:val="22"/>
        </w:rP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spacing w:line="276" w:lineRule="auto"/>
      </w:pPr>
      <w:r>
        <w:rPr>
          <w:rFonts w:ascii="Times New Roman" w:hAnsi="Times New Roman" w:eastAsia="Times New Roman"/>
          <w:b/>
          <w:bCs/>
          <w:sz w:val="22"/>
        </w:rPr>
        <w:t xml:space="preserve">Conclusions:</w:t>
      </w:r>
      <w:r>
        <w:rPr>
          <w:rFonts w:ascii="Times New Roman" w:hAnsi="Times New Roman" w:eastAsia="Times New Roman"/>
          <w:sz w:val="22"/>
        </w:rPr>
        <w:t xml:space="preserve"> </w:t>
      </w:r>
      <w:r>
        <w:rPr>
          <w:rFonts w:ascii="Times New Roman" w:hAnsi="Times New Roman" w:eastAsia="Times New Roman"/>
          <w:sz w:val="22"/>
        </w:rP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spacing w:line="276" w:lineRule="auto"/>
      </w:pPr>
      <w:r>
        <w:rPr>
          <w:rFonts w:ascii="Times New Roman" w:hAnsi="Times New Roman" w:eastAsia="Times New Roman"/>
          <w:b/>
          <w:bCs/>
          <w:sz w:val="22"/>
        </w:rPr>
        <w:t xml:space="preserve">Keywords:</w:t>
      </w:r>
      <w:r>
        <w:rPr>
          <w:rFonts w:ascii="Times New Roman" w:hAnsi="Times New Roman" w:eastAsia="Times New Roman"/>
          <w:sz w:val="22"/>
        </w:rPr>
        <w:t xml:space="preserve"> </w:t>
      </w:r>
      <w:r>
        <w:rPr>
          <w:rFonts w:ascii="Times New Roman" w:hAnsi="Times New Roman" w:eastAsia="Times New Roman"/>
          <w:sz w:val="22"/>
        </w:rPr>
        <w:t xml:space="preserve">Non-small cell lung cancer; Cancer informatics; C1Q; SPP1; macrophage context; spatial transcriptomics; reproducibility; traceability feature</w:t>
      </w:r>
    </w:p>
    <w:bookmarkEnd w:id="9"/>
    <w:bookmarkEnd w:id="10"/>
    <w:bookmarkStart w:id="11" w:name="sec:intro"/>
    <w:p>
      <w:pPr>
        <w:pStyle w:val="Heading1"/>
        <w:spacing w:line="276" w:lineRule="auto"/>
      </w:pPr>
      <w:r>
        <w:rPr>
          <w:rFonts w:ascii="Times New Roman" w:hAnsi="Times New Roman" w:eastAsia="Times New Roman"/>
          <w:b/>
          <w:sz w:val="28"/>
        </w:rPr>
        <w:t xml:space="preserve">Introduction</w:t>
      </w:r>
    </w:p>
    <w:p>
      <w:pPr>
        <w:pStyle w:val="FirstParagraph"/>
        <w:spacing w:after="120" w:line="276" w:lineRule="auto"/>
      </w:pPr>
      <w:r>
        <w:rPr>
          <w:rFonts w:ascii="Times New Roman" w:hAnsi="Times New Roman" w:eastAsia="Times New Roman"/>
          <w:sz w:val="22"/>
        </w:rPr>
        <w:t>Non-small cell lung cancer (NSCLC) remains a major cause of cancer mortality.</w:t>
      </w:r>
      <w:r>
        <w:rPr>
          <w:rFonts w:ascii="Times New Roman" w:hAnsi="Times New Roman" w:eastAsia="Times New Roman"/>
          <w:sz w:val="22"/>
          <w:vertAlign w:val="superscript"/>
        </w:rPr>
        <w:t>1-3</w:t>
      </w:r>
      <w:r>
        <w:rPr>
          <w:rFonts w:ascii="Times New Roman" w:hAnsi="Times New Roman" w:eastAsia="Times New Roman"/>
          <w:sz w:val="22"/>
        </w:rPr>
        <w:t xml:space="preserve"> Immune checkpoint blockade has improved outcomes for a subset of patients.</w:t>
      </w:r>
      <w:r>
        <w:rPr>
          <w:rFonts w:ascii="Times New Roman" w:hAnsi="Times New Roman" w:eastAsia="Times New Roman"/>
          <w:sz w:val="22"/>
          <w:vertAlign w:val="superscript"/>
        </w:rPr>
        <w:t>4,5</w:t>
      </w:r>
      <w:r>
        <w:rPr>
          <w:rFonts w:ascii="Times New Roman" w:hAnsi="Times New Roman" w:eastAsia="Times New Roman"/>
          <w:sz w:val="22"/>
        </w:rPr>
        <w:t xml:space="preserve"> However, PD-L1 expression, tumor mutational burden, and bulk immune-expression summaries do not fully capture the spatial and cellular organization of the tumor microenvironment (TME).</w:t>
      </w:r>
      <w:r>
        <w:rPr>
          <w:rFonts w:ascii="Times New Roman" w:hAnsi="Times New Roman" w:eastAsia="Times New Roman"/>
          <w:sz w:val="22"/>
          <w:vertAlign w:val="superscript"/>
        </w:rPr>
        <w:t>8,9</w:t>
      </w:r>
      <w:r>
        <w:rPr>
          <w:rFonts w:ascii="Times New Roman" w:hAnsi="Times New Roman" w:eastAsia="Times New Roman"/>
          <w:sz w:val="22"/>
        </w:rPr>
        <w:t xml:space="preserve">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contexts that can be traced across available datasets.</w:t>
      </w:r>
      <w:r>
        <w:rPr>
          <w:rFonts w:ascii="Times New Roman" w:hAnsi="Times New Roman" w:eastAsia="Times New Roman"/>
          <w:sz w:val="22"/>
          <w:vertAlign w:val="superscript"/>
        </w:rPr>
        <w:t>14-16</w:t>
      </w:r>
    </w:p>
    <w:p>
      <w:pPr>
        <w:pStyle w:val="BodyText"/>
        <w:spacing w:line="276" w:lineRule="auto"/>
      </w:pPr>
      <w:r>
        <w:rPr>
          <w:rFonts w:ascii="Times New Roman" w:hAnsi="Times New Roman" w:eastAsia="Times New Roman"/>
          <w:sz w:val="22"/>
        </w:rPr>
        <w:t xml:space="preserve">C1q, encoded by</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C1QB</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C1QC</w:t>
      </w:r>
      <w:r>
        <w:rPr>
          <w:rFonts w:ascii="Times New Roman" w:hAnsi="Times New Roman" w:eastAsia="Times New Roman"/>
          <w:sz w:val="22"/>
        </w:rPr>
        <w:t xml:space="preserve">, is produced largely by macrophage and dendritic-cell lineages in the TME. Prior work suggests that complement-associated macrophage states may accompany either immune activation or tumor-promoting inflammation, depending on context.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spacing w:line="276" w:lineRule="auto"/>
      </w:pPr>
      <w:r>
        <w:rPr>
          <w:rFonts w:ascii="Times New Roman" w:hAnsi="Times New Roman" w:eastAsia="Times New Roman"/>
          <w:sz w:val="22"/>
        </w:rP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spacing w:line="276" w:lineRule="auto"/>
      </w:pPr>
      <w:r>
        <w:rPr>
          <w:rFonts w:ascii="Times New Roman" w:hAnsi="Times New Roman" w:eastAsia="Times New Roman"/>
          <w:b/>
          <w:sz w:val="28"/>
        </w:rPr>
        <w:t xml:space="preserve">Methods</w:t>
      </w:r>
    </w:p>
    <w:bookmarkStart w:id="18" w:name="subsec:study_design"/>
    <w:p>
      <w:pPr>
        <w:pStyle w:val="Heading2"/>
        <w:spacing w:line="276" w:lineRule="auto"/>
      </w:pPr>
      <w:r>
        <w:rPr>
          <w:rFonts w:ascii="Times New Roman" w:hAnsi="Times New Roman" w:eastAsia="Times New Roman"/>
          <w:b/>
          <w:sz w:val="24"/>
        </w:rPr>
        <w:t xml:space="preserve">Study Design and Evidence Hierarchy</w:t>
      </w:r>
    </w:p>
    <w:p>
      <w:pPr>
        <w:pStyle w:val="FirstParagraph"/>
        <w:spacing w:after="120" w:line="276" w:lineRule="auto"/>
      </w:pPr>
      <w:r>
        <w:rPr>
          <w:rFonts w:ascii="Times New Roman" w:hAnsi="Times New Roman" w:eastAsia="Times New Roman"/>
          <w:sz w:val="22"/>
        </w:rPr>
        <w:t>This study used a staged, retrospective public-data design.</w:t>
      </w:r>
      <w:r>
        <w:rPr>
          <w:rFonts w:ascii="Times New Roman" w:hAnsi="Times New Roman" w:eastAsia="Times New Roman"/>
          <w:sz w:val="22"/>
          <w:vertAlign w:val="superscript"/>
        </w:rPr>
        <w:t>25-27</w:t>
      </w:r>
      <w:r>
        <w:rPr>
          <w:rFonts w:ascii="Times New Roman" w:hAnsi="Times New Roman" w:eastAsia="Times New Roman"/>
          <w:sz w:val="22"/>
        </w:rPr>
        <w:t xml:space="preserve">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 1). No external cohort was used to tune the feature set, select a clinical threshold, or upgrade the analysis to prospective validation.</w:t>
      </w:r>
    </w:p>
    <w:bookmarkStart w:id="15" w:name="fig:1"/>
    <w:p>
      <w:pPr>
        <w:pStyle w:val="CaptionedFigure"/>
        <w:spacing w:line="276" w:lineRule="auto"/>
      </w:pPr>
      <w:r>
        <w:rPr>
          <w:rFonts w:ascii="Times New Roman" w:hAnsi="Times New Roman" w:eastAsia="Times New Roman"/>
          <w:sz w:val="22"/>
        </w:rP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1. Integrated study design and evidence overview.</w:t>
      </w:r>
      <w:r>
        <w:rPr>
          <w:rFonts w:ascii="Times New Roman" w:hAnsi="Times New Roman" w:eastAsia="Times New Roman"/>
          <w:b w:val="0"/>
          <w:sz w:val="20"/>
        </w:rPr>
        <w:t xml:space="preserve"> Panel A, Analytical workflow: TCGA/GEO data acquisition, feature selection, MR-based prioritization, spatial transcriptomics, retrospective score-behavior assessment, and external traceability. Panel B, Multi-layer evidence framework: genetic, spatial, computational, and clinical evidence layers are interpreted as complementary support rather than a directed causal sequence. Panel C, Conceptual spatial-context representation: C1Q-enriched regions, SPP1-enriched regions, and CD8-marker context are shown as a schematic guide to the spatial analyses.</w:t>
      </w:r>
    </w:p>
    <w:bookmarkEnd w:id="15"/>
    <w:bookmarkStart w:id="16" w:name="conservative-interpretation-rules"/>
    <w:p>
      <w:pPr>
        <w:pStyle w:val="Heading3"/>
        <w:spacing w:line="276" w:lineRule="auto"/>
      </w:pPr>
      <w:r>
        <w:rPr>
          <w:rFonts w:ascii="Times New Roman" w:hAnsi="Times New Roman" w:eastAsia="Times New Roman"/>
          <w:b/>
          <w:i/>
          <w:sz w:val="22"/>
        </w:rPr>
        <w:t xml:space="preserve">Conservative Interpretation Rules</w:t>
      </w:r>
    </w:p>
    <w:p>
      <w:pPr>
        <w:pStyle w:val="FirstParagraph"/>
        <w:spacing w:line="276" w:lineRule="auto"/>
      </w:pPr>
      <w:r>
        <w:rPr>
          <w:rFonts w:ascii="Times New Roman" w:hAnsi="Times New Roman" w:eastAsia="Times New Roman"/>
          <w:sz w:val="22"/>
        </w:rP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spacing w:line="276" w:lineRule="auto"/>
      </w:pPr>
      <w:r>
        <w:rPr>
          <w:rFonts w:ascii="Times New Roman" w:hAnsi="Times New Roman" w:eastAsia="Times New Roman"/>
          <w:b/>
          <w:i/>
          <w:sz w:val="22"/>
        </w:rPr>
        <w:t xml:space="preserve">Data Acquisition and Quality Control</w:t>
      </w:r>
    </w:p>
    <w:p>
      <w:pPr>
        <w:pStyle w:val="FirstParagraph"/>
        <w:spacing w:after="120" w:line="276" w:lineRule="auto"/>
      </w:pPr>
      <w:r>
        <w:rPr>
          <w:rFonts w:ascii="Times New Roman" w:hAnsi="Times New Roman" w:eastAsia="Times New Roman"/>
          <w:sz w:val="22"/>
        </w:rPr>
        <w:t>Discovery Cohort (TCGA): TCGA LUAD and LUSC transcriptomic and clinical data were retrieved from the NCI Genomic Data Commons.</w:t>
      </w:r>
      <w:r>
        <w:rPr>
          <w:rFonts w:ascii="Times New Roman" w:hAnsi="Times New Roman" w:eastAsia="Times New Roman"/>
          <w:sz w:val="22"/>
          <w:vertAlign w:val="superscript"/>
        </w:rPr>
        <w:t>28,29</w:t>
      </w:r>
      <w:r>
        <w:rPr>
          <w:rFonts w:ascii="Times New Roman" w:hAnsi="Times New Roman" w:eastAsia="Times New Roman"/>
          <w:sz w:val="22"/>
        </w:rP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spacing w:line="276" w:lineRule="auto"/>
      </w:pPr>
      <w:r>
        <w:rPr>
          <w:rFonts w:ascii="Times New Roman" w:hAnsi="Times New Roman" w:eastAsia="Times New Roman"/>
          <w:b/>
          <w:bCs/>
          <w:sz w:val="22"/>
        </w:rPr>
        <w:t xml:space="preserve">Spatial Transcriptomics Data:</w:t>
      </w:r>
      <w:r>
        <w:rPr>
          <w:rFonts w:ascii="Times New Roman" w:hAnsi="Times New Roman" w:eastAsia="Times New Roman"/>
          <w:sz w:val="22"/>
        </w:rPr>
        <w:t xml:space="preserve"> </w:t>
      </w:r>
      <w:r>
        <w:rPr>
          <w:rFonts w:ascii="Times New Roman" w:hAnsi="Times New Roman" w:eastAsia="Times New Roman"/>
          <w:sz w:val="22"/>
        </w:rP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spacing w:after="120" w:line="276" w:lineRule="auto"/>
      </w:pPr>
      <w:r>
        <w:rPr>
          <w:rFonts w:ascii="Times New Roman" w:hAnsi="Times New Roman" w:eastAsia="Times New Roman"/>
          <w:b w:val="0"/>
          <w:i w:val="0"/>
          <w:sz w:val="22"/>
        </w:rPr>
        <w:t>10x Visium: Included 8 tissue sections from 1 patient (Supplementary Table S12), utilizing a 55 μm spot diameter for tissue-level spatial mapping.</w:t>
      </w:r>
    </w:p>
    <w:p>
      <w:pPr>
        <w:spacing w:line="276" w:lineRule="auto"/>
      </w:pPr>
      <w:r>
        <w:rPr>
          <w:rFonts w:ascii="Times New Roman" w:hAnsi="Times New Roman" w:eastAsia="Times New Roman"/>
          <w:b/>
          <w:bCs/>
          <w:sz w:val="22"/>
        </w:rPr>
        <w:t xml:space="preserve">CosMx SMI:</w:t>
      </w:r>
      <w:r>
        <w:rPr>
          <w:rFonts w:ascii="Times New Roman" w:hAnsi="Times New Roman" w:eastAsia="Times New Roman"/>
          <w:sz w:val="22"/>
        </w:rPr>
        <w:t xml:space="preserve"> </w:t>
      </w:r>
      <w:r>
        <w:rPr>
          <w:rFonts w:ascii="Times New Roman" w:hAnsi="Times New Roman" w:eastAsia="Times New Roman"/>
          <w:sz w:val="22"/>
        </w:rP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spacing w:line="276" w:lineRule="auto"/>
      </w:pPr>
      <w:r>
        <w:rPr>
          <w:rFonts w:ascii="Times New Roman" w:hAnsi="Times New Roman" w:eastAsia="Times New Roman"/>
          <w:b/>
          <w:bCs/>
          <w:sz w:val="22"/>
        </w:rPr>
        <w:t xml:space="preserve">External Cohorts:</w:t>
      </w:r>
      <w:r>
        <w:rPr>
          <w:rFonts w:ascii="Times New Roman" w:hAnsi="Times New Roman" w:eastAsia="Times New Roman"/>
          <w:sz w:val="22"/>
        </w:rPr>
        <w:t xml:space="preserve"> </w:t>
      </w:r>
      <w:r>
        <w:rPr>
          <w:rFonts w:ascii="Times New Roman" w:hAnsi="Times New Roman" w:eastAsia="Times New Roman"/>
          <w:sz w:val="22"/>
        </w:rP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spacing w:line="276" w:lineRule="auto"/>
      </w:pPr>
      <w:r>
        <w:rPr>
          <w:rFonts w:ascii="Times New Roman" w:hAnsi="Times New Roman" w:eastAsia="Times New Roman"/>
          <w:b/>
          <w:sz w:val="24"/>
        </w:rPr>
        <w:t xml:space="preserve">C1Q/SPP1 Traceability Framework</w:t>
      </w:r>
    </w:p>
    <w:p>
      <w:pPr>
        <w:pStyle w:val="FirstParagraph"/>
        <w:spacing w:line="276" w:lineRule="auto"/>
      </w:pPr>
      <w:r>
        <w:rPr>
          <w:rFonts w:ascii="Times New Roman" w:hAnsi="Times New Roman" w:eastAsia="Times New Roman"/>
          <w:sz w:val="22"/>
        </w:rPr>
        <w:t xml:space="preserve">We implemented a multi-stage traceability framework to evaluate whether C1Q/SPP1 macrophage context is traceable across data layers:</w:t>
      </w:r>
    </w:p>
    <w:p>
      <w:pPr>
        <w:pStyle w:val="BodyText"/>
        <w:spacing w:after="120" w:line="276" w:lineRule="auto"/>
      </w:pPr>
      <w:r>
        <w:rPr>
          <w:rFonts w:ascii="Times New Roman" w:hAnsi="Times New Roman" w:eastAsia="Times New Roman"/>
          <w:sz w:val="22"/>
        </w:rPr>
        <w:t>Phase 1: MR-based gene prioritization: Mendelian randomization (MR) was used to prioritize genes with expression-linked immune-context associations.</w:t>
      </w:r>
      <w:r>
        <w:rPr>
          <w:rFonts w:ascii="Times New Roman" w:hAnsi="Times New Roman" w:eastAsia="Times New Roman"/>
          <w:sz w:val="22"/>
          <w:vertAlign w:val="superscript"/>
        </w:rPr>
        <w:t>33</w:t>
      </w:r>
      <w:r>
        <w:rPr>
          <w:rFonts w:ascii="Times New Roman" w:hAnsi="Times New Roman" w:eastAsia="Times New Roman"/>
          <w:sz w:val="22"/>
        </w:rPr>
        <w:t xml:space="preserve"> It was not used to prove mechanism or treatment relevance. We used eQTL data from eQTLGen.</w:t>
      </w:r>
      <w:r>
        <w:rPr>
          <w:rFonts w:ascii="Times New Roman" w:hAnsi="Times New Roman" w:eastAsia="Times New Roman"/>
          <w:sz w:val="22"/>
          <w:vertAlign w:val="superscript"/>
        </w:rPr>
        <w:t>35</w:t>
      </w:r>
      <w:r>
        <w:rPr>
          <w:rFonts w:ascii="Times New Roman" w:hAnsi="Times New Roman" w:eastAsia="Times New Roman"/>
          <w:sz w:val="22"/>
        </w:rPr>
        <w:t xml:space="preserve"> GTEx v8 and TwoSampleMR (v0.5.6) were used for supporting analyses, and sensitivity diagnostics were inspected before assigning confidence.</w:t>
      </w:r>
    </w:p>
    <w:p>
      <w:pPr>
        <w:pStyle w:val="BodyText"/>
        <w:spacing w:line="276" w:lineRule="auto"/>
      </w:pPr>
      <w:r>
        <w:rPr>
          <w:rFonts w:ascii="Times New Roman" w:hAnsi="Times New Roman" w:eastAsia="Times New Roman"/>
          <w:b/>
          <w:bCs/>
          <w:sz w:val="22"/>
        </w:rPr>
        <w:t xml:space="preserve">Phase 2: Retrospective score-behavior assessment:</w:t>
      </w:r>
      <w:r>
        <w:rPr>
          <w:rFonts w:ascii="Times New Roman" w:hAnsi="Times New Roman" w:eastAsia="Times New Roman"/>
          <w:sz w:val="22"/>
        </w:rPr>
        <w:t xml:space="preserve"> </w:t>
      </w:r>
      <w:r>
        <w:rPr>
          <w:rFonts w:ascii="Times New Roman" w:hAnsi="Times New Roman" w:eastAsia="Times New Roman"/>
          <w:sz w:val="22"/>
        </w:rP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spacing w:line="276" w:lineRule="auto"/>
      </w:pPr>
      <w:r>
        <w:rPr>
          <w:rFonts w:ascii="Times New Roman" w:hAnsi="Times New Roman" w:eastAsia="Times New Roman"/>
          <w:b/>
          <w:bCs/>
          <w:sz w:val="22"/>
        </w:rPr>
        <w:t xml:space="preserve">Phase 3: Spatial context characterization:</w:t>
      </w:r>
      <w:r>
        <w:rPr>
          <w:rFonts w:ascii="Times New Roman" w:hAnsi="Times New Roman" w:eastAsia="Times New Roman"/>
          <w:sz w:val="22"/>
        </w:rPr>
        <w:t xml:space="preserve"> </w:t>
      </w:r>
      <w:r>
        <w:rPr>
          <w:rFonts w:ascii="Times New Roman" w:hAnsi="Times New Roman" w:eastAsia="Times New Roman"/>
          <w:sz w:val="22"/>
        </w:rP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spacing w:before="0" w:after="60" w:line="276" w:lineRule="auto"/>
      </w:pPr>
      <w:r>
        <w:rPr>
          <w:rFonts w:ascii="Times New Roman" w:hAnsi="Times New Roman" w:eastAsia="Times New Roman"/>
          <w:sz w:val="22"/>
        </w:rPr>
        <w:t>These interpretation boundaries are summarized in Table 1.</w:t>
      </w:r>
    </w:p>
    <w:p>
      <w:pPr>
        <w:pStyle w:val="Caption"/>
        <w:spacing w:before="120" w:after="80" w:line="276" w:lineRule="auto"/>
        <w:jc w:val="left"/>
      </w:pPr>
      <w:r>
        <w:rPr>
          <w:rFonts w:ascii="Times New Roman" w:hAnsi="Times New Roman" w:eastAsia="Times New Roman"/>
          <w:b/>
          <w:i w:val="0"/>
          <w:sz w:val="20"/>
        </w:rPr>
        <w:t>Table 1. Claim-interpretation-boundary framework used for interpretation</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Claim domain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Supported interpretation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C1Q/SPP1 macrophage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Traceable across public expression datasets as a macrophage-context feature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a diagnostic assay or tumor-specific marker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 organization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 and SPP1 show non-random spatial patterns in available Visium and CosMx sections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 patient-level extrapolation remains limited</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MR-based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Highlights candidates for follow-up under instrumental-variable assumptions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causal proof, target validation, or evidence of therapeutic actionability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Retrospective outcome score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The feature set carries modest outcome-linked signal and can be used descriptively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 locked clinical cutoff, no prospective test, and no treatment-selection claim</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ICB response association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Directional response-associated separation is observed in small cohorts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NSCLC ICB confirmation and not evidence of superiority over PD-L1, TMB, or clinical baselines</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This table defines the interpretive boundaries used throughout the manuscript and the public evidence-chain map.</w:t>
      </w:r>
    </w:p>
    <w:bookmarkEnd w:id="19"/>
    <w:bookmarkStart w:id="20" w:name="subsec:neighborhood"/>
    <w:p>
      <w:pPr>
        <w:pStyle w:val="Heading2"/>
        <w:spacing w:line="276" w:lineRule="auto"/>
      </w:pPr>
      <w:r>
        <w:rPr>
          <w:rFonts w:ascii="Times New Roman" w:hAnsi="Times New Roman" w:eastAsia="Times New Roman"/>
          <w:b/>
          <w:sz w:val="24"/>
        </w:rPr>
        <w:t xml:space="preserve">Neighborhood Enrichment Analysis</w:t>
      </w:r>
    </w:p>
    <w:p>
      <w:pPr>
        <w:pStyle w:val="FirstParagraph"/>
        <w:spacing w:line="276" w:lineRule="auto"/>
      </w:pPr>
      <w:r>
        <w:rPr>
          <w:rFonts w:ascii="Times New Roman" w:hAnsi="Times New Roman" w:eastAsia="Times New Roman"/>
          <w:sz w:val="22"/>
        </w:rPr>
        <w:t xml:space="preserve">Neighborhood enrichment analysis was performed in CosMx SMI data to describe local co-occurrence between C1Q-associated macrophage states and CD8-marker-positive contexts. A 50</w:t>
      </w:r>
      <w:r>
        <w:rPr>
          <w:rFonts w:ascii="Times New Roman" w:hAnsi="Times New Roman" w:eastAsia="Times New Roman"/>
          <w:sz w:val="22"/>
        </w:rPr>
        <w:t xml:space="preserve"> </w:t>
      </w:r>
      <m:oMath>
        <m:r>
          <m:t>μ</m:t>
        </m:r>
      </m:oMath>
      <w:r>
        <w:rPr>
          <w:rFonts w:ascii="Times New Roman" w:hAnsi="Times New Roman" w:eastAsia="Times New Roman"/>
          <w:sz w:val="22"/>
        </w:rP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spacing w:line="276" w:lineRule="auto"/>
      </w:pPr>
      <w:r>
        <w:rPr>
          <w:rFonts w:ascii="Times New Roman" w:hAnsi="Times New Roman" w:eastAsia="Times New Roman"/>
          <w:b/>
          <w:sz w:val="24"/>
        </w:rPr>
        <w:t xml:space="preserve">Data Preprocessing and Statistical Analysis</w:t>
      </w:r>
    </w:p>
    <w:bookmarkStart w:id="21" w:name="transcriptome-data-preprocessing"/>
    <w:p>
      <w:pPr>
        <w:pStyle w:val="Heading3"/>
        <w:spacing w:line="276" w:lineRule="auto"/>
      </w:pPr>
      <w:r>
        <w:rPr>
          <w:rFonts w:ascii="Times New Roman" w:hAnsi="Times New Roman" w:eastAsia="Times New Roman"/>
          <w:b/>
          <w:i/>
          <w:sz w:val="22"/>
        </w:rPr>
        <w:t xml:space="preserve">Transcriptome Data Preprocessing</w:t>
      </w:r>
    </w:p>
    <w:p>
      <w:pPr>
        <w:pStyle w:val="FirstParagraph"/>
        <w:spacing w:line="276" w:lineRule="auto"/>
      </w:pPr>
      <w:r>
        <w:rPr>
          <w:rFonts w:ascii="Times New Roman" w:hAnsi="Times New Roman" w:eastAsia="Times New Roman"/>
          <w:sz w:val="22"/>
        </w:rP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spacing w:line="276" w:lineRule="auto"/>
      </w:pPr>
      <w:r>
        <w:rPr>
          <w:rFonts w:ascii="Times New Roman" w:hAnsi="Times New Roman" w:eastAsia="Times New Roman"/>
          <w:b/>
          <w:i/>
          <w:sz w:val="22"/>
        </w:rPr>
        <w:t xml:space="preserve">Statistical Analysis</w:t>
      </w:r>
    </w:p>
    <w:p>
      <w:pPr>
        <w:pStyle w:val="FirstParagraph"/>
        <w:spacing w:after="120" w:line="276" w:lineRule="auto"/>
      </w:pPr>
      <w:r>
        <w:rPr>
          <w:rFonts w:ascii="Times New Roman" w:hAnsi="Times New Roman" w:eastAsia="Times New Roman"/>
          <w:sz w:val="22"/>
        </w:rPr>
        <w:t>All statistical analyses were performed using R and Python. Python-based data manipulation and numerical computing used Pandas, NumPy, and SciPy.</w:t>
      </w:r>
      <w:r>
        <w:rPr>
          <w:rFonts w:ascii="Times New Roman" w:hAnsi="Times New Roman" w:eastAsia="Times New Roman"/>
          <w:sz w:val="22"/>
          <w:vertAlign w:val="superscript"/>
        </w:rPr>
        <w:t>37-39</w:t>
      </w:r>
      <w:r>
        <w:rPr>
          <w:rFonts w:ascii="Times New Roman" w:hAnsi="Times New Roman" w:eastAsia="Times New Roman"/>
          <w:sz w:val="22"/>
        </w:rPr>
        <w:t xml:space="preserve"> Visualization used Matplotlib and Seaborn.</w:t>
      </w:r>
      <w:r>
        <w:rPr>
          <w:rFonts w:ascii="Times New Roman" w:hAnsi="Times New Roman" w:eastAsia="Times New Roman"/>
          <w:sz w:val="22"/>
          <w:vertAlign w:val="superscript"/>
        </w:rPr>
        <w:t>40,41</w:t>
      </w:r>
      <w:r>
        <w:rPr>
          <w:rFonts w:ascii="Times New Roman" w:hAnsi="Times New Roman" w:eastAsia="Times New Roman"/>
          <w:sz w:val="22"/>
        </w:rPr>
        <w:t xml:space="preserve"> Machine-learning tasks used Scikit-learn.</w:t>
      </w:r>
      <w:r>
        <w:rPr>
          <w:rFonts w:ascii="Times New Roman" w:hAnsi="Times New Roman" w:eastAsia="Times New Roman"/>
          <w:sz w:val="22"/>
          <w:vertAlign w:val="superscript"/>
        </w:rPr>
        <w:t>42</w:t>
      </w:r>
      <w:r>
        <w:rPr>
          <w:rFonts w:ascii="Times New Roman" w:hAnsi="Times New Roman" w:eastAsia="Times New Roman"/>
          <w:sz w:val="22"/>
        </w:rPr>
        <w:t xml:space="preserve">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Declarations section.</w:t>
      </w:r>
    </w:p>
    <w:bookmarkEnd w:id="22"/>
    <w:bookmarkEnd w:id="23"/>
    <w:bookmarkStart w:id="24" w:name="subsec:power"/>
    <w:p>
      <w:pPr>
        <w:pStyle w:val="Heading2"/>
        <w:spacing w:line="276" w:lineRule="auto"/>
      </w:pPr>
      <w:r>
        <w:rPr>
          <w:rFonts w:ascii="Times New Roman" w:hAnsi="Times New Roman" w:eastAsia="Times New Roman"/>
          <w:b/>
          <w:sz w:val="24"/>
        </w:rPr>
        <w:t xml:space="preserve">Sample Size and Statistical Power</w:t>
      </w:r>
    </w:p>
    <w:p>
      <w:pPr>
        <w:pStyle w:val="FirstParagraph"/>
        <w:spacing w:line="276" w:lineRule="auto"/>
      </w:pPr>
      <w:r>
        <w:rPr>
          <w:rFonts w:ascii="Times New Roman" w:hAnsi="Times New Roman" w:eastAsia="Times New Roman"/>
          <w:sz w:val="22"/>
        </w:rP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spacing w:line="276" w:lineRule="auto"/>
      </w:pPr>
      <w:r>
        <w:rPr>
          <w:rFonts w:ascii="Times New Roman" w:hAnsi="Times New Roman" w:eastAsia="Times New Roman"/>
          <w:b/>
          <w:sz w:val="24"/>
        </w:rPr>
        <w:t xml:space="preserve">Nested Cross-Validation Framework</w:t>
      </w:r>
    </w:p>
    <w:p>
      <w:pPr>
        <w:pStyle w:val="FirstParagraph"/>
        <w:spacing w:after="120" w:line="276" w:lineRule="auto"/>
      </w:pPr>
      <w:r>
        <w:rPr>
          <w:rFonts w:ascii="Times New Roman" w:hAnsi="Times New Roman" w:eastAsia="Times New Roman"/>
          <w:b w:val="0"/>
          <w:i w:val="0"/>
          <w:sz w:val="22"/>
        </w:rPr>
        <w:t>To reduce data leakage and estimate feature stability, we used 5×5 nested cross-validation. The outer loop used stratified 5-fold splits for held-out assessment, and the inner loop used LASSO feature selection with cross-validated regularization. The final λ = 0.002 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spacing w:line="276" w:lineRule="auto"/>
      </w:pPr>
      <w:r>
        <w:rPr>
          <w:rFonts w:ascii="Times New Roman" w:hAnsi="Times New Roman" w:eastAsia="Times New Roman"/>
          <w:b/>
          <w:sz w:val="24"/>
        </w:rPr>
        <w:t xml:space="preserve">Mendelian Randomization for Gene Prioritization</w:t>
      </w:r>
    </w:p>
    <w:p>
      <w:pPr>
        <w:pStyle w:val="FirstParagraph"/>
        <w:spacing w:after="120" w:line="276" w:lineRule="auto"/>
      </w:pPr>
      <w:r>
        <w:rPr>
          <w:rFonts w:ascii="Times New Roman" w:hAnsi="Times New Roman" w:eastAsia="Times New Roman"/>
          <w:sz w:val="22"/>
        </w:rPr>
        <w:t>We used two-sample Mendelian randomization as a gene-prioritization layer.</w:t>
      </w:r>
      <w:r>
        <w:rPr>
          <w:rFonts w:ascii="Times New Roman" w:hAnsi="Times New Roman" w:eastAsia="Times New Roman"/>
          <w:sz w:val="22"/>
          <w:vertAlign w:val="superscript"/>
        </w:rPr>
        <w:t>44</w:t>
      </w:r>
      <w:r>
        <w:rPr>
          <w:rFonts w:ascii="Times New Roman" w:hAnsi="Times New Roman" w:eastAsia="Times New Roman"/>
          <w:sz w:val="22"/>
        </w:rPr>
        <w:t xml:space="preserve"> MR was implemented in the TwoSampleMR R package. MR estimates were interpreted as expression-linked associations under instrumental-variable assumptions, not as proof of spatial mechanism, therapeutic actionability, or clinical utility.</w:t>
      </w:r>
    </w:p>
    <w:p>
      <w:pPr>
        <w:pStyle w:val="BodyText"/>
        <w:spacing w:after="120" w:line="276" w:lineRule="auto"/>
      </w:pPr>
      <w:r>
        <w:rPr>
          <w:rFonts w:ascii="Times New Roman" w:hAnsi="Times New Roman" w:eastAsia="Times New Roman"/>
          <w:b w:val="0"/>
          <w:i w:val="0"/>
          <w:sz w:val="22"/>
        </w:rPr>
        <w:t>Instrumental variables were selected at genome-wide significance (P &lt; 5 × 10^-8), LD-pruned (r² &lt; 0.001,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spacing w:line="276" w:lineRule="auto"/>
      </w:pPr>
      <w:r>
        <w:rPr>
          <w:rFonts w:ascii="Times New Roman" w:hAnsi="Times New Roman" w:eastAsia="Times New Roman"/>
          <w:b/>
          <w:sz w:val="24"/>
        </w:rPr>
        <w:t xml:space="preserve">Spatial Transcriptomics Analysis</w:t>
      </w:r>
    </w:p>
    <w:p>
      <w:pPr>
        <w:pStyle w:val="FirstParagraph"/>
        <w:spacing w:line="276" w:lineRule="auto"/>
      </w:pPr>
      <w:r>
        <w:rPr>
          <w:rFonts w:ascii="Times New Roman" w:hAnsi="Times New Roman" w:eastAsia="Times New Roman"/>
          <w:sz w:val="22"/>
        </w:rP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spacing w:line="276" w:lineRule="auto"/>
      </w:pPr>
      <w:r>
        <w:rPr>
          <w:rFonts w:ascii="Times New Roman" w:hAnsi="Times New Roman" w:eastAsia="Times New Roman"/>
          <w:b/>
          <w:i/>
          <w:sz w:val="22"/>
        </w:rPr>
        <w:t xml:space="preserve">Spatial Autocorrelation Analysis</w:t>
      </w:r>
    </w:p>
    <w:p>
      <w:pPr>
        <w:pStyle w:val="FirstParagraph"/>
        <w:spacing w:after="120" w:line="276" w:lineRule="auto"/>
      </w:pPr>
      <m:oMath>
        <m:r>
          <m:rPr>
            <m:sty m:val="p"/>
          </m:rPr>
          <m:t>&gt;</m:t>
        </m:r>
      </m:oMath>
      <m:oMath>
        <m:r>
          <m:t>P</m:t>
        </m:r>
        <m:r>
          <m:rPr>
            <m:sty m:val="p"/>
          </m:rPr>
          <m:t>&lt;</m:t>
        </m:r>
        <m:r>
          <m:t>0.001</m:t>
        </m:r>
      </m:oMath>
      <w:r>
        <w:rPr>
          <w:rFonts w:ascii="Times New Roman" w:hAnsi="Times New Roman" w:eastAsia="Times New Roman"/>
          <w:b w:val="0"/>
          <w:i w:val="0"/>
          <w:sz w:val="22"/>
        </w:rPr>
        <w:t>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 &gt; 0.35 and corrected P &lt; 0.001 were described as spatially clustered within the analyzed sections. The term hotspot is used descriptively and does not imply causal organization.</w:t>
      </w:r>
    </w:p>
    <w:bookmarkEnd w:id="27"/>
    <w:bookmarkStart w:id="28" w:name="cell-type-deconvolution"/>
    <w:p>
      <w:pPr>
        <w:pStyle w:val="Heading3"/>
        <w:spacing w:line="276" w:lineRule="auto"/>
      </w:pPr>
      <w:r>
        <w:rPr>
          <w:rFonts w:ascii="Times New Roman" w:hAnsi="Times New Roman" w:eastAsia="Times New Roman"/>
          <w:b/>
          <w:i/>
          <w:sz w:val="22"/>
        </w:rPr>
        <w:t xml:space="preserve">Cell Type Deconvolution</w:t>
      </w:r>
    </w:p>
    <w:p>
      <w:pPr>
        <w:pStyle w:val="FirstParagraph"/>
        <w:spacing w:line="276" w:lineRule="auto"/>
      </w:pPr>
      <w:r>
        <w:rPr>
          <w:rFonts w:ascii="Times New Roman" w:hAnsi="Times New Roman" w:eastAsia="Times New Roman"/>
          <w:sz w:val="22"/>
        </w:rP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spacing w:line="276" w:lineRule="auto"/>
      </w:pPr>
      <w:r>
        <w:rPr>
          <w:rFonts w:ascii="Times New Roman" w:hAnsi="Times New Roman" w:eastAsia="Times New Roman"/>
          <w:b/>
          <w:i/>
          <w:sz w:val="22"/>
        </w:rPr>
        <w:t xml:space="preserve">Spatial Co-localization Analysis</w:t>
      </w:r>
    </w:p>
    <w:p>
      <w:pPr>
        <w:pStyle w:val="FirstParagraph"/>
        <w:spacing w:after="120" w:line="276" w:lineRule="auto"/>
      </w:pPr>
      <w:r>
        <w:rPr>
          <w:rFonts w:ascii="Times New Roman" w:hAnsi="Times New Roman" w:eastAsia="Times New Roman"/>
          <w:sz w:val="22"/>
        </w:rPr>
        <w:t>To assess spatial context among C1Q, SPP1, and immune-marker programs, we calculated correlations and local spatial statistics across multiple spatial scales (50 μm, 100 μm, and 200 μm where available).</w:t>
      </w:r>
      <w:r>
        <w:rPr>
          <w:rFonts w:ascii="Times New Roman" w:hAnsi="Times New Roman" w:eastAsia="Times New Roman"/>
          <w:sz w:val="22"/>
          <w:vertAlign w:val="superscript"/>
        </w:rPr>
        <w:t>47,48</w:t>
      </w:r>
      <w:r>
        <w:rPr>
          <w:rFonts w:ascii="Times New Roman" w:hAnsi="Times New Roman" w:eastAsia="Times New Roman"/>
          <w:sz w:val="22"/>
        </w:rP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spacing w:line="276" w:lineRule="auto"/>
      </w:pPr>
      <w:r>
        <w:rPr>
          <w:rFonts w:ascii="Times New Roman" w:hAnsi="Times New Roman" w:eastAsia="Times New Roman"/>
          <w:b/>
          <w:sz w:val="24"/>
        </w:rPr>
        <w:t xml:space="preserve">Counterfactual Scoring and Sensitivity Analysis</w:t>
      </w:r>
    </w:p>
    <w:p>
      <w:pPr>
        <w:pStyle w:val="FirstParagraph"/>
        <w:spacing w:line="276" w:lineRule="auto"/>
      </w:pPr>
      <w:r>
        <w:rPr>
          <w:rFonts w:ascii="Times New Roman" w:hAnsi="Times New Roman" w:eastAsia="Times New Roman"/>
          <w:sz w:val="22"/>
        </w:rPr>
        <w:t xml:space="preserve">We performed a counterfactual scoring analysis centered on</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spacing w:line="276" w:lineRule="auto"/>
      </w:pPr>
      <w:r>
        <w:rPr>
          <w:rFonts w:ascii="Times New Roman" w:hAnsi="Times New Roman" w:eastAsia="Times New Roman"/>
          <w:b/>
          <w:sz w:val="24"/>
        </w:rPr>
        <w:t xml:space="preserve">Retrospective Score Construction and Evaluation</w:t>
      </w:r>
    </w:p>
    <w:p>
      <w:pPr>
        <w:pStyle w:val="FirstParagraph"/>
        <w:spacing w:line="276" w:lineRule="auto"/>
      </w:pPr>
      <w:r>
        <w:rPr>
          <w:rFonts w:ascii="Times New Roman" w:hAnsi="Times New Roman" w:eastAsia="Times New Roman"/>
          <w:sz w:val="22"/>
        </w:rP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spacing w:line="276" w:lineRule="auto"/>
      </w:pPr>
      <w:r>
        <w:rPr>
          <w:rFonts w:ascii="Times New Roman" w:hAnsi="Times New Roman" w:eastAsia="Times New Roman"/>
          <w:b/>
          <w:i/>
          <w:sz w:val="22"/>
        </w:rPr>
        <w:t xml:space="preserve">External Traceability Assessment</w:t>
      </w:r>
    </w:p>
    <w:p>
      <w:pPr>
        <w:pStyle w:val="FirstParagraph"/>
        <w:spacing w:line="276" w:lineRule="auto"/>
      </w:pPr>
      <w:r>
        <w:rPr>
          <w:rFonts w:ascii="Times New Roman" w:hAnsi="Times New Roman" w:eastAsia="Times New Roman"/>
          <w:sz w:val="22"/>
        </w:rP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spacing w:line="276" w:lineRule="auto"/>
      </w:pPr>
      <w:r>
        <w:rPr>
          <w:rFonts w:ascii="Times New Roman" w:hAnsi="Times New Roman" w:eastAsia="Times New Roman"/>
          <w:b/>
          <w:i/>
          <w:sz w:val="22"/>
        </w:rPr>
        <w:t xml:space="preserve">Score-Behavior Metrics</w:t>
      </w:r>
    </w:p>
    <w:p>
      <w:pPr>
        <w:pStyle w:val="FirstParagraph"/>
        <w:spacing w:line="276" w:lineRule="auto"/>
      </w:pPr>
      <w:r>
        <w:rPr>
          <w:rFonts w:ascii="Times New Roman" w:hAnsi="Times New Roman" w:eastAsia="Times New Roman"/>
          <w:sz w:val="22"/>
        </w:rP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spacing w:line="276" w:lineRule="auto"/>
      </w:pPr>
      <w:r>
        <w:rPr>
          <w:rFonts w:ascii="Times New Roman" w:hAnsi="Times New Roman" w:eastAsia="Times New Roman"/>
          <w:b/>
          <w:i/>
          <w:sz w:val="22"/>
        </w:rPr>
        <w:t xml:space="preserve">Clinical Comparator and Incremental-Value Boundaries</w:t>
      </w:r>
    </w:p>
    <w:p>
      <w:pPr>
        <w:pStyle w:val="FirstParagraph"/>
        <w:spacing w:line="276" w:lineRule="auto"/>
      </w:pPr>
      <w:r>
        <w:rPr>
          <w:rFonts w:ascii="Times New Roman" w:hAnsi="Times New Roman" w:eastAsia="Times New Roman"/>
          <w:sz w:val="22"/>
        </w:rP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spacing w:line="276" w:lineRule="auto"/>
      </w:pPr>
      <w:r>
        <w:rPr>
          <w:rFonts w:ascii="Times New Roman" w:hAnsi="Times New Roman" w:eastAsia="Times New Roman"/>
          <w:b/>
          <w:sz w:val="24"/>
        </w:rPr>
        <w:t xml:space="preserve">Statistical Analysis</w:t>
      </w:r>
    </w:p>
    <w:p>
      <w:pPr>
        <w:pStyle w:val="FirstParagraph"/>
        <w:spacing w:line="276" w:lineRule="auto"/>
      </w:pPr>
      <w:r>
        <w:rPr>
          <w:rFonts w:ascii="Times New Roman" w:hAnsi="Times New Roman" w:eastAsia="Times New Roman"/>
          <w:sz w:val="22"/>
        </w:rP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spacing w:after="120" w:line="276" w:lineRule="auto"/>
      </w:pPr>
      <m:oMath>
        <m:r>
          <m:t>P</m:t>
        </m:r>
      </m:oMath>
      <m:oMath>
        <m:r>
          <m:rPr>
            <m:sty m:val="p"/>
          </m:rPr>
          <m:t>&lt;</m:t>
        </m:r>
      </m:oMath>
      <w:r>
        <w:rPr>
          <w:rFonts w:ascii="Times New Roman" w:hAnsi="Times New Roman" w:eastAsia="Times New Roman"/>
          <w:b w:val="0"/>
          <w:i w:val="0"/>
          <w:sz w:val="22"/>
        </w:rPr>
        <w:t>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 P-values &lt; 0.05 were considered statistically significant unless otherwise specified.</w:t>
      </w:r>
    </w:p>
    <w:bookmarkEnd w:id="36"/>
    <w:bookmarkStart w:id="37" w:name="hazard-ratio-calculation"/>
    <w:p>
      <w:pPr>
        <w:pStyle w:val="Heading2"/>
        <w:spacing w:line="276" w:lineRule="auto"/>
      </w:pPr>
      <w:r>
        <w:rPr>
          <w:rFonts w:ascii="Times New Roman" w:hAnsi="Times New Roman" w:eastAsia="Times New Roman"/>
          <w:b/>
          <w:sz w:val="24"/>
        </w:rPr>
        <w:t xml:space="preserve">Hazard Ratio Calculation</w:t>
      </w:r>
    </w:p>
    <w:p>
      <w:pPr>
        <w:pStyle w:val="FirstParagraph"/>
        <w:spacing w:line="276" w:lineRule="auto"/>
      </w:pPr>
      <w:r>
        <w:rPr>
          <w:rFonts w:ascii="Times New Roman" w:hAnsi="Times New Roman" w:eastAsia="Times New Roman"/>
          <w:sz w:val="22"/>
        </w:rPr>
        <w:t xml:space="preserve">Hazard ratios (HRs) and 95% confidence intervals (CIs) were calculated using univariate Cox proportional hazards regression implemented in the</w:t>
      </w:r>
      <w:r>
        <w:rPr>
          <w:rFonts w:ascii="Times New Roman" w:hAnsi="Times New Roman" w:eastAsia="Times New Roman"/>
          <w:sz w:val="22"/>
        </w:rPr>
        <w:t xml:space="preserve"> </w:t>
      </w:r>
      <w:r>
        <w:rPr>
          <w:rFonts w:ascii="Times New Roman" w:hAnsi="Times New Roman" w:eastAsia="Times New Roman"/>
          <w:i/>
          <w:iCs/>
          <w:sz w:val="22"/>
        </w:rPr>
        <w:t xml:space="preserve">lifelines</w:t>
      </w:r>
      <w:r>
        <w:rPr>
          <w:rFonts w:ascii="Times New Roman" w:hAnsi="Times New Roman" w:eastAsia="Times New Roman"/>
          <w:sz w:val="22"/>
        </w:rPr>
        <w:t xml:space="preserve"> </w:t>
      </w:r>
      <w:r>
        <w:rPr>
          <w:rFonts w:ascii="Times New Roman" w:hAnsi="Times New Roman" w:eastAsia="Times New Roman"/>
          <w:sz w:val="22"/>
        </w:rP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spacing w:line="276" w:lineRule="auto"/>
      </w:pPr>
      <w:r>
        <w:rPr>
          <w:rFonts w:ascii="Times New Roman" w:hAnsi="Times New Roman" w:eastAsia="Times New Roman"/>
          <w:b/>
          <w:sz w:val="24"/>
        </w:rPr>
        <w:t xml:space="preserve">Descriptive Score Construction and Survival Association</w:t>
      </w:r>
    </w:p>
    <w:p>
      <w:pPr>
        <w:pStyle w:val="FirstParagraph"/>
        <w:spacing w:line="276" w:lineRule="auto"/>
      </w:pPr>
      <w:r>
        <w:rPr>
          <w:rFonts w:ascii="Times New Roman" w:hAnsi="Times New Roman" w:eastAsia="Times New Roman"/>
          <w:sz w:val="22"/>
        </w:rP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spacing w:line="276" w:lineRule="auto"/>
      </w:pPr>
      <w:r>
        <w:rPr>
          <w:rFonts w:ascii="Times New Roman" w:hAnsi="Times New Roman" w:eastAsia="Times New Roman"/>
          <w:b/>
          <w:sz w:val="28"/>
        </w:rPr>
        <w:t xml:space="preserve">Results</w:t>
      </w:r>
    </w:p>
    <w:p>
      <w:pPr>
        <w:pStyle w:val="FirstParagraph"/>
        <w:spacing w:line="276" w:lineRule="auto"/>
      </w:pPr>
      <w:r>
        <w:rPr>
          <w:rFonts w:ascii="Times New Roman" w:hAnsi="Times New Roman" w:eastAsia="Times New Roman"/>
          <w:sz w:val="22"/>
        </w:rP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spacing w:line="276" w:lineRule="auto"/>
      </w:pPr>
      <w:r>
        <w:rPr>
          <w:rFonts w:ascii="Times New Roman" w:hAnsi="Times New Roman" w:eastAsia="Times New Roman"/>
          <w:b/>
          <w:sz w:val="24"/>
        </w:rPr>
        <w:t xml:space="preserve">Study Population and Baseline Characteristics</w:t>
      </w:r>
    </w:p>
    <w:p>
      <w:pPr>
        <w:pStyle w:val="FirstParagraph"/>
        <w:spacing w:line="276" w:lineRule="auto"/>
      </w:pPr>
      <w:r>
        <w:rPr>
          <w:rFonts w:ascii="Times New Roman" w:hAnsi="Times New Roman" w:eastAsia="Times New Roman"/>
          <w:sz w:val="22"/>
        </w:rP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spacing w:line="276" w:lineRule="auto"/>
      </w:pPr>
      <w:r>
        <w:rPr>
          <w:rFonts w:ascii="Times New Roman" w:hAnsi="Times New Roman" w:eastAsia="Times New Roman"/>
          <w:b/>
          <w:bCs/>
          <w:sz w:val="22"/>
        </w:rPr>
        <w:t xml:space="preserve">Gender disparity</w:t>
      </w:r>
      <w:r>
        <w:rPr>
          <w:rFonts w:ascii="Times New Roman" w:hAnsi="Times New Roman" w:eastAsia="Times New Roman"/>
          <w:sz w:val="22"/>
        </w:rPr>
        <w:t xml:space="preserve">: LUSC had higher male representation (74.1% vs. 41.3% in LUAD)</w:t>
      </w:r>
    </w:p>
    <w:p>
      <w:pPr>
        <w:spacing w:line="276" w:lineRule="auto"/>
      </w:pPr>
      <w:r>
        <w:rPr>
          <w:rFonts w:ascii="Times New Roman" w:hAnsi="Times New Roman" w:eastAsia="Times New Roman"/>
          <w:b/>
          <w:bCs/>
          <w:sz w:val="22"/>
        </w:rPr>
        <w:t xml:space="preserve">Survival outcomes</w:t>
      </w:r>
      <w:r>
        <w:rPr>
          <w:rFonts w:ascii="Times New Roman" w:hAnsi="Times New Roman" w:eastAsia="Times New Roman"/>
          <w:sz w:val="22"/>
        </w:rPr>
        <w:t xml:space="preserve">: LUSC patients showed higher mortality (43.6% vs. 32.1% in LUAD)</w:t>
      </w:r>
    </w:p>
    <w:p>
      <w:pPr>
        <w:pStyle w:val="FirstParagraph"/>
        <w:spacing w:before="0" w:after="60" w:line="276" w:lineRule="auto"/>
      </w:pPr>
      <w:r>
        <w:rPr>
          <w:rFonts w:ascii="Times New Roman" w:hAnsi="Times New Roman" w:eastAsia="Times New Roman"/>
          <w:sz w:val="22"/>
        </w:rPr>
        <w:t>Detailed characteristics are provided in Table 2; cohort accounting and source-data traceability are documented in the public source-data manifest. PD-L1, TMB, ctDNA, TCR, and harmonized treatment-regimen annotations were not consistently available across these datasets; therefore, the manuscript does not present a formal incremental-value analysis over standard clinical or molecular comparators.</w:t>
      </w:r>
    </w:p>
    <w:p>
      <w:pPr>
        <w:pStyle w:val="Caption"/>
        <w:spacing w:before="120" w:after="80" w:line="276" w:lineRule="auto"/>
        <w:jc w:val="left"/>
      </w:pPr>
      <w:r>
        <w:rPr>
          <w:rFonts w:ascii="Times New Roman" w:hAnsi="Times New Roman" w:eastAsia="Times New Roman"/>
          <w:b/>
          <w:i w:val="0"/>
          <w:sz w:val="20"/>
        </w:rPr>
        <w:t>Table 2. Baseline characteristics of study population (TCGA NSCLC cohort and GSE31210 traceability cohort)</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Characteristic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Total (N=1100)</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LUAD (N=595)</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LUSC (N=505)</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GSE31210 (N=226ᵇ)</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P-valueᵃ</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Age (years)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66.2 ± 9.4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65.1 ± 10.1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67.3 ± 8.6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59.6 ± 7.4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Gender</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620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374 (74.1%)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(46.5%)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417 (37.9%)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286 (48.1%)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131 (25.9%)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121 (53.5%)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AJCC Stage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535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289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168 (74.3%)</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288 (26.2%)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 (21.0%)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163 (32.3%)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58 (25.7%)</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169 (15.4%)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84 (14.1%)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85 (16.8%)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IV</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33 (3.0%)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26 (4.4%)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 (1.4%)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75 (6.8%)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71 (11.9%)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 (0.8%)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Smoking History</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Light (&lt;10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 (3.2%)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22 (3.7%)</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13 (2.6%)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Moderate (10–30 pack-years)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170 (15.5%)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(17.6%)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65 (12.9%)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Heavy (≥30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588 (53.5%)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238 (40.0%)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350 (69.3%)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307 (27.9%)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230 (38.7%)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77 (15.2%)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Vital Status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Alive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626 (56.9%)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341 (57.3%)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285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(84.5%)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Dead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411 (37.4%)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(32.1%)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220 (43.6%)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35 (15.5%)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0" w:after="120" w:line="276" w:lineRule="auto"/>
        <w:jc w:val="left"/>
      </w:pPr>
      <w:r>
        <w:rPr>
          <w:rFonts w:ascii="Times New Roman" w:hAnsi="Times New Roman" w:eastAsia="Times New Roman"/>
          <w:b w:val="0"/>
          <w:i/>
          <w:sz w:val="18"/>
        </w:rPr>
        <w:t>Note: Values are shown as mean ± SD or n (%). ᵃP-values compare TCGA total versus GSE31210 using the Mann-Whitney U test for continuous variables and chi-square test for categorical variables. ᵇThe GSE31210 cohort includes 226 primary lung adenocarcinoma samples after excluding normal tissue controls; survival analyses used 178 patients with complete follow-up data. N.A., not available.</w:t>
      </w:r>
    </w:p>
    <w:p>
      <w:pPr>
        <w:pStyle w:val="Caption"/>
        <w:spacing w:before="120" w:after="80" w:line="276" w:lineRule="auto"/>
        <w:jc w:val="left"/>
      </w:pPr>
      <w:r>
        <w:rPr>
          <w:rFonts w:ascii="Times New Roman" w:hAnsi="Times New Roman" w:eastAsia="Times New Roman"/>
          <w:b/>
          <w:i w:val="0"/>
          <w:sz w:val="20"/>
        </w:rPr>
        <w:t>Table 3. Retrospective score-behavior comparison across candidate algorithms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AUC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Accuracy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F1-score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C-index</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(1.33–1.91)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(1.35–1.88)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(1.34–1.89)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1.51 (1.28–1.79)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 (1.23–1.71)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1.37 (1.15–1.64)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1.29 (1.10–1.51)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LASSO Cox</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1.52 (1.39–1.66)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Models were evaluated using 5-fold nested cross-validation. Test AUC represents area under the ROC curve on the held-out fold. C-index measures risk ranking. HR and 95% CI were calculated using continuous Cox regression with standardized risk scores. Bold values identify the reference AdaBoost score used for downstream descriptive analyses; they do not indicate uniform superiority across all metrics or clinical readiness.</w:t>
      </w:r>
    </w:p>
    <w:bookmarkEnd w:id="40"/>
    <w:bookmarkStart w:id="41" w:name="subsec:res_nested_cv"/>
    <w:p>
      <w:pPr>
        <w:pStyle w:val="Heading2"/>
        <w:spacing w:line="276" w:lineRule="auto"/>
      </w:pPr>
      <w:r>
        <w:rPr>
          <w:rFonts w:ascii="Times New Roman" w:hAnsi="Times New Roman" w:eastAsia="Times New Roman"/>
          <w:b/>
          <w:sz w:val="24"/>
        </w:rPr>
        <w:t xml:space="preserve">Robust Feature Selection via Nested Cross-Validation</w:t>
      </w:r>
    </w:p>
    <w:p>
      <w:pPr>
        <w:pStyle w:val="FirstParagraph"/>
        <w:spacing w:line="276" w:lineRule="auto"/>
      </w:pPr>
      <w:r>
        <w:rPr>
          <w:rFonts w:ascii="Times New Roman" w:hAnsi="Times New Roman" w:eastAsia="Times New Roman"/>
          <w:sz w:val="22"/>
        </w:rPr>
        <w:t xml:space="preserve">Nested cross-validation identified 91 stable features selected in 100% of outer folds, with 212 features showing</w:t>
      </w:r>
      <w:r>
        <w:rPr>
          <w:rFonts w:ascii="Times New Roman" w:hAnsi="Times New Roman" w:eastAsia="Times New Roman"/>
          <w:sz w:val="22"/>
        </w:rPr>
        <w:t xml:space="preserve"> </w:t>
      </w:r>
      <m:oMath>
        <m:r>
          <m:rPr>
            <m:sty m:val="p"/>
          </m:rPr>
          <m:t>&gt;</m:t>
        </m:r>
      </m:oMath>
      <w:r>
        <w:rPr>
          <w:rFonts w:ascii="Times New Roman" w:hAnsi="Times New Roman" w:eastAsia="Times New Roman"/>
          <w:sz w:val="22"/>
        </w:rPr>
        <w:t xml:space="preserve">60% selection frequency (Supplementary Figure S2, Supplementary Table S4). These features were used as a stability-prioritized set for downstream exploratory score construction. Among recurrent candidates,</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spacing w:line="276" w:lineRule="auto"/>
      </w:pPr>
      <w:r>
        <w:rPr>
          <w:rFonts w:ascii="Times New Roman" w:hAnsi="Times New Roman" w:eastAsia="Times New Roman"/>
          <w:b/>
          <w:sz w:val="24"/>
        </w:rPr>
        <w:t xml:space="preserve">Mendelian Randomization Prioritizes a Candidate Gene Set in NSCLC</w:t>
      </w:r>
    </w:p>
    <w:p>
      <w:pPr>
        <w:pStyle w:val="FirstParagraph"/>
        <w:spacing w:line="276" w:lineRule="auto"/>
      </w:pPr>
      <w:r>
        <w:rPr>
          <w:rFonts w:ascii="Times New Roman" w:hAnsi="Times New Roman" w:eastAsia="Times New Roman"/>
          <w:sz w:val="22"/>
        </w:rPr>
        <w:t xml:space="preserve">Mendelian randomization prioritized</w:t>
      </w:r>
      <w:r>
        <w:rPr>
          <w:rFonts w:ascii="Times New Roman" w:hAnsi="Times New Roman" w:eastAsia="Times New Roman"/>
          <w:sz w:val="22"/>
        </w:rPr>
        <w:t xml:space="preserve"> </w:t>
      </w:r>
      <w:r>
        <w:rPr>
          <w:rFonts w:ascii="Times New Roman" w:hAnsi="Times New Roman" w:eastAsia="Times New Roman"/>
          <w:b/>
          <w:bCs/>
          <w:sz w:val="22"/>
        </w:rPr>
        <w:t xml:space="preserve">198 genes as expression-linked candidates</w:t>
      </w:r>
      <w:r>
        <w:rPr>
          <w:rFonts w:ascii="Times New Roman" w:hAnsi="Times New Roman" w:eastAsia="Times New Roman"/>
          <w:sz w:val="22"/>
        </w:rPr>
        <w:t xml:space="preserve"> </w:t>
      </w:r>
      <w:r>
        <w:rPr>
          <w:rFonts w:ascii="Times New Roman" w:hAnsi="Times New Roman" w:eastAsia="Times New Roman"/>
          <w:sz w:val="22"/>
        </w:rPr>
        <w:t xml:space="preserve">associated with lung-cancer immune-context phenotypes (Figure </w:t>
      </w:r>
      <w:hyperlink w:anchor="fig:2">
        <w:r>
          <w:rPr>
            <w:rStyle w:val="Hyperlink"/>
          </w:rPr>
          <w:t xml:space="preserve">2</w:t>
        </w:r>
      </w:hyperlink>
      <w:r>
        <w:rPr>
          <w:rFonts w:ascii="Times New Roman" w:hAnsi="Times New Roman" w:eastAsia="Times New Roman"/>
          <w:sz w:val="22"/>
        </w:rP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spacing w:line="276" w:lineRule="auto"/>
      </w:pPr>
      <w:r>
        <w:rPr>
          <w:rFonts w:ascii="Times New Roman" w:hAnsi="Times New Roman" w:eastAsia="Times New Roman"/>
          <w:sz w:val="22"/>
        </w:rP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2. MR-based gene prioritization.</w:t>
      </w:r>
      <w:r>
        <w:rPr>
          <w:rFonts w:ascii="Times New Roman" w:hAnsi="Times New Roman" w:eastAsia="Times New Roman"/>
          <w:b w:val="0"/>
          <w:sz w:val="20"/>
        </w:rPr>
        <w:t xml:space="preserve"> Panel A, MR prioritizes C1Q-relevant candidate axes associated with immune phenotype. Panel B, Sensitivity analyses using IVW, MR-Egger, and weighted median estimates. Panel C, Leave-one-out analysis assesses single-SNP influence. Panel D, Bidirectional and directionality checks identify candidates requiring cautious interpretation.</w:t>
      </w:r>
    </w:p>
    <w:bookmarkEnd w:id="45"/>
    <w:p>
      <w:pPr>
        <w:pStyle w:val="BodyText"/>
        <w:spacing w:line="276" w:lineRule="auto"/>
      </w:pPr>
      <w:r>
        <w:rPr>
          <w:rFonts w:ascii="Times New Roman" w:hAnsi="Times New Roman" w:eastAsia="Times New Roman"/>
          <w:i/>
          <w:iCs/>
          <w:sz w:val="22"/>
        </w:rPr>
        <w:t xml:space="preserve">KCNAB2</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spacing w:line="276" w:lineRule="auto"/>
      </w:pPr>
      <w:r>
        <w:rPr>
          <w:rFonts w:ascii="Times New Roman" w:hAnsi="Times New Roman" w:eastAsia="Times New Roman"/>
          <w:b/>
          <w:sz w:val="24"/>
        </w:rPr>
        <w:t xml:space="preserve">Patient-Limited Spatial Mapping of C1Q/SPP1 Context</w:t>
      </w:r>
    </w:p>
    <w:p>
      <w:pPr>
        <w:pStyle w:val="FirstParagraph"/>
        <w:spacing w:before="0" w:after="60" w:line="276" w:lineRule="auto"/>
      </w:pPr>
      <w:r>
        <w:rPr>
          <w:rFonts w:ascii="Times New Roman" w:hAnsi="Times New Roman" w:eastAsia="Times New Roman"/>
          <w:sz w:val="22"/>
        </w:rPr>
        <w:t>Spatial mapping supports non-random C1Q clustering in the available sections. Using both 10x Visium and CosMx SMI platforms, we observed that C1Q-family expression was spatially clustered rather than uniformly distributed within the available TME sections (Figures 3–4, Table 4, Supplementary Table S5). C1Q family members exhibited moderate spatial autocorrelation among immune genes:</w:t>
      </w:r>
    </w:p>
    <w:p>
      <w:pPr>
        <w:spacing w:after="120" w:line="276" w:lineRule="auto"/>
      </w:pPr>
      <m:oMath>
        <m:r>
          <m:t>P</m:t>
        </m:r>
        <m:r>
          <m:rPr>
            <m:sty m:val="p"/>
          </m:rPr>
          <m:t>&lt;</m:t>
        </m:r>
        <m:r>
          <m:t>0.001</m:t>
        </m:r>
      </m:oMath>
      <w:r>
        <w:rPr>
          <w:rFonts w:ascii="Times New Roman" w:hAnsi="Times New Roman" w:eastAsia="Times New Roman"/>
          <w:b w:val="0"/>
          <w:i w:val="0"/>
          <w:sz w:val="22"/>
        </w:rPr>
        <w:t>C1QA: Moran's I = 0.386 (P &lt; 0.001)</w:t>
      </w:r>
    </w:p>
    <w:p>
      <w:pPr>
        <w:spacing w:after="120" w:line="276" w:lineRule="auto"/>
      </w:pPr>
      <m:oMath>
        <m:r>
          <m:t>P</m:t>
        </m:r>
        <m:r>
          <m:rPr>
            <m:sty m:val="p"/>
          </m:rPr>
          <m:t>&lt;</m:t>
        </m:r>
        <m:r>
          <m:t>0.001</m:t>
        </m:r>
      </m:oMath>
      <w:r>
        <w:rPr>
          <w:rFonts w:ascii="Times New Roman" w:hAnsi="Times New Roman" w:eastAsia="Times New Roman"/>
          <w:b w:val="0"/>
          <w:i w:val="0"/>
          <w:sz w:val="22"/>
        </w:rPr>
        <w:t>C1QC: Moran's I = 0.377 (P &lt; 0.001)</w:t>
      </w:r>
    </w:p>
    <w:p>
      <w:pPr>
        <w:spacing w:after="120" w:line="276" w:lineRule="auto"/>
      </w:pPr>
      <m:oMath>
        <m:r>
          <m:t>P</m:t>
        </m:r>
        <m:r>
          <m:rPr>
            <m:sty m:val="p"/>
          </m:rPr>
          <m:t>&lt;</m:t>
        </m:r>
        <m:r>
          <m:t>0.001</m:t>
        </m:r>
      </m:oMath>
      <w:r>
        <w:rPr>
          <w:rFonts w:ascii="Times New Roman" w:hAnsi="Times New Roman" w:eastAsia="Times New Roman"/>
          <w:b w:val="0"/>
          <w:i w:val="0"/>
          <w:sz w:val="22"/>
        </w:rPr>
        <w:t>C1QB: Moran's I = 0.355 (P &lt; 0.001)</w:t>
      </w:r>
    </w:p>
    <w:p>
      <w:pPr>
        <w:pStyle w:val="FirstParagraph"/>
        <w:spacing w:line="276" w:lineRule="auto"/>
      </w:pPr>
      <w:r>
        <w:rPr>
          <w:rFonts w:ascii="Times New Roman" w:hAnsi="Times New Roman" w:eastAsia="Times New Roman"/>
          <w:sz w:val="22"/>
        </w:rPr>
        <w:t xml:space="preserve">Global analysis of 100 immune-related genes placed C1Q family members among the more spatially clustered immune genes, alongside UBXN10 (Moran’s I = 0.416). SPP1 showed stronger spatial autocorrelation (Moran’s I = 0.712,</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consistent with a more spatially compartmentalized macrophage context.</w:t>
      </w:r>
    </w:p>
    <w:bookmarkStart w:id="50" w:name="fig:3"/>
    <w:p>
      <w:pPr>
        <w:pStyle w:val="CaptionedFigure"/>
        <w:spacing w:line="276" w:lineRule="auto"/>
      </w:pPr>
      <w:r>
        <w:rPr>
          <w:rFonts w:ascii="Times New Roman" w:hAnsi="Times New Roman" w:eastAsia="Times New Roman"/>
          <w:sz w:val="22"/>
        </w:rP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3. Spatial clustering of the C1Q/SPP1 axis.</w:t>
      </w:r>
      <w:r>
        <w:rPr>
          <w:rFonts w:ascii="Times New Roman" w:hAnsi="Times New Roman" w:eastAsia="Times New Roman"/>
          <w:b w:val="0"/>
          <w:sz w:val="20"/>
        </w:rPr>
        <w:t xml:space="preserve"> Panel A, Spatial clustering of C1Q expression across tumor sections. Panel B, C1Q spatial autocorrelation quantified by Moran’s I. Panel C, Comparison with SPP1-enriched macrophage compartments shows distinct spatial organization. Panel D, CosMx single-cell spatial data provide context-level support for conservation of the pattern.</w:t>
      </w:r>
    </w:p>
    <w:bookmarkEnd w:id="50"/>
    <w:p>
      <w:pPr>
        <w:pStyle w:val="BodyText"/>
        <w:spacing w:line="276" w:lineRule="auto"/>
      </w:pPr>
      <w:r>
        <w:rPr>
          <w:rFonts w:ascii="Times New Roman" w:hAnsi="Times New Roman" w:eastAsia="Times New Roman"/>
          <w:b/>
          <w:bCs/>
          <w:sz w:val="22"/>
        </w:rPr>
        <w:t xml:space="preserve">Neighborhood enrichment analysis</w:t>
      </w:r>
      <w:r>
        <w:rPr>
          <w:rFonts w:ascii="Times New Roman" w:hAnsi="Times New Roman" w:eastAsia="Times New Roman"/>
          <w:sz w:val="22"/>
        </w:rPr>
        <w:t xml:space="preserve"> </w:t>
      </w:r>
      <w:r>
        <w:rPr>
          <w:rFonts w:ascii="Times New Roman" w:hAnsi="Times New Roman" w:eastAsia="Times New Roman"/>
          <w:sz w:val="22"/>
        </w:rP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rPr>
          <w:rFonts w:ascii="Times New Roman" w:hAnsi="Times New Roman" w:eastAsia="Times New Roman"/>
          <w:sz w:val="22"/>
        </w:rP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rPr>
          <w:rFonts w:ascii="Times New Roman" w:hAnsi="Times New Roman" w:eastAsia="Times New Roman"/>
          <w:sz w:val="22"/>
        </w:rP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spacing w:line="276" w:lineRule="auto"/>
      </w:pPr>
      <w:r>
        <w:rPr>
          <w:rFonts w:ascii="Times New Roman" w:hAnsi="Times New Roman" w:eastAsia="Times New Roman"/>
          <w:sz w:val="22"/>
        </w:rP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spacing w:line="276" w:lineRule="auto"/>
      </w:pPr>
      <w:r>
        <w:rPr>
          <w:rFonts w:ascii="Times New Roman" w:hAnsi="Times New Roman" w:eastAsia="Times New Roman"/>
          <w:sz w:val="22"/>
        </w:rP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4. Spatial context of C1Q-associated macrophage states.</w:t>
      </w:r>
      <w:r>
        <w:rPr>
          <w:rFonts w:ascii="Times New Roman" w:hAnsi="Times New Roman" w:eastAsia="Times New Roman"/>
          <w:b w:val="0"/>
          <w:sz w:val="20"/>
        </w:rPr>
        <w:t xml:space="preserve"> Panel A, Local proximity of C1Q-marker-positive macrophage contexts and CD8-marker-positive contexts. Panel B, Neighborhood enrichment analysis summarizes attraction/avoidance structure. Panel C, Spatial correlation between C1Q and immune markers supports context-level association. Panel D, Spatial contrast between C1Q- and SPP1-enriched niches delineates immune-active versus immune-excluded states.</w:t>
      </w:r>
    </w:p>
    <w:bookmarkEnd w:id="54"/>
    <w:bookmarkEnd w:id="55"/>
    <w:bookmarkStart w:id="60" w:name="subsec:res_virtual_ko"/>
    <w:p>
      <w:pPr>
        <w:pStyle w:val="Heading2"/>
        <w:spacing w:line="276" w:lineRule="auto"/>
      </w:pPr>
      <w:r>
        <w:rPr>
          <w:rFonts w:ascii="Times New Roman" w:hAnsi="Times New Roman" w:eastAsia="Times New Roman"/>
          <w:b/>
          <w:sz w:val="24"/>
        </w:rPr>
        <w:t xml:space="preserve">Counterfactual Scoring Shows Dependency of the C1Q Module</w:t>
      </w:r>
    </w:p>
    <w:p>
      <w:pPr>
        <w:pStyle w:val="FirstParagraph"/>
        <w:spacing w:after="120" w:line="276" w:lineRule="auto"/>
      </w:pPr>
      <w:r>
        <w:rPr>
          <w:rFonts w:ascii="Times New Roman" w:hAnsi="Times New Roman" w:eastAsia="Times New Roman"/>
          <w:b w:val="0"/>
          <w:i w:val="0"/>
          <w:sz w:val="22"/>
        </w:rPr>
        <w:t>To test whether the C1Q score was internally dependent on C1QA, we performed a counterfactual scoring analysis and re-estimated spatial and clinical metrics (Figure 5, Supplementary Figures S11–S12). The computational attenuation reduced the C1Q program score (mean C1Q score: 5.179 → 2.628) and decreased Moran's I (0.660 → 0.401; Δ = -0.259). This indicates score dependency and module sensitivity, not experimental proof of biological perturbation.</w:t>
      </w:r>
    </w:p>
    <w:p>
      <w:pPr>
        <w:pStyle w:val="BodyText"/>
        <w:spacing w:line="276" w:lineRule="auto"/>
      </w:pPr>
      <w:r>
        <w:rPr>
          <w:rFonts w:ascii="Times New Roman" w:hAnsi="Times New Roman" w:eastAsia="Times New Roman"/>
          <w:sz w:val="22"/>
        </w:rP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spacing w:line="276" w:lineRule="auto"/>
      </w:pPr>
      <w:r>
        <w:rPr>
          <w:rFonts w:ascii="Times New Roman" w:hAnsi="Times New Roman" w:eastAsia="Times New Roman"/>
          <w:sz w:val="22"/>
        </w:rPr>
        <w:t xml:space="preserve">The main visualization is summarized in Figure </w:t>
      </w:r>
      <w:hyperlink w:anchor="fig:5">
        <w:r>
          <w:rPr>
            <w:rStyle w:val="Hyperlink"/>
          </w:rPr>
          <w:t xml:space="preserve">5</w:t>
        </w:r>
      </w:hyperlink>
      <w:r>
        <w:rPr>
          <w:rFonts w:ascii="Times New Roman" w:hAnsi="Times New Roman" w:eastAsia="Times New Roman"/>
          <w:sz w:val="22"/>
        </w:rPr>
        <w:t xml:space="preserve">, with additional network-summary sensitivity outputs provided in Supplementary Figures S11–S12. These analyses are sensitivity checks rather than experimental perturbations.</w:t>
      </w:r>
    </w:p>
    <w:bookmarkStart w:id="59" w:name="fig:5"/>
    <w:p>
      <w:pPr>
        <w:pStyle w:val="CaptionedFigure"/>
        <w:spacing w:line="276" w:lineRule="auto"/>
      </w:pPr>
      <w:r>
        <w:rPr>
          <w:rFonts w:ascii="Times New Roman" w:hAnsi="Times New Roman" w:eastAsia="Times New Roman"/>
          <w:sz w:val="22"/>
        </w:rP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5. Counterfactual scoring sensitivity of the C1Q axis.</w:t>
      </w:r>
      <w:r>
        <w:rPr>
          <w:rFonts w:ascii="Times New Roman" w:hAnsi="Times New Roman" w:eastAsia="Times New Roman"/>
          <w:b w:val="0"/>
          <w:sz w:val="20"/>
        </w:rPr>
        <w:t xml:space="preserve"> Panel A, Computational C1Q-axis attenuation reduces composite axis activity. Panel B, Spatial hotspot structure shifts after score recomputation. Panel C, CD8-proxy proximity summaries show threshold-like sensitivity to C1Q-axis attenuation. Panel D, Risk-score distributions shift after counterfactual score recomputation. These analyses test internal score dependency and should not be interpreted as experimental gene attenuation or causal perturbation.</w:t>
      </w:r>
    </w:p>
    <w:bookmarkEnd w:id="59"/>
    <w:bookmarkEnd w:id="60"/>
    <w:bookmarkStart w:id="69" w:name="subsec:res_ml"/>
    <w:p>
      <w:pPr>
        <w:pStyle w:val="Heading2"/>
        <w:spacing w:line="276" w:lineRule="auto"/>
      </w:pPr>
      <w:r>
        <w:rPr>
          <w:rFonts w:ascii="Times New Roman" w:hAnsi="Times New Roman" w:eastAsia="Times New Roman"/>
          <w:b/>
          <w:sz w:val="24"/>
        </w:rPr>
        <w:t xml:space="preserve">Retrospective Score Behavior and Outcome Traceability</w:t>
      </w:r>
    </w:p>
    <w:p>
      <w:pPr>
        <w:pStyle w:val="FirstParagraph"/>
        <w:spacing w:before="0" w:after="60" w:line="276" w:lineRule="auto"/>
      </w:pPr>
      <w:r>
        <w:rPr>
          <w:rFonts w:ascii="Times New Roman" w:hAnsi="Times New Roman" w:eastAsia="Times New Roman"/>
          <w:sz w:val="22"/>
        </w:rPr>
        <w:t>The C1Q/SPP1 feature set showed retrospective survival-associated score behavior. Evaluation across candidate algorithms showed that different methods optimized different metrics (Table 3, Figure 6, Supplementary Figures S2 and S8, Supplementary Table S1). AdaBoost was retained as the reference score for downstream description, but it was not uniformly superior across all metrics.</w:t>
      </w:r>
    </w:p>
    <w:p>
      <w:pPr>
        <w:pStyle w:val="BodyText"/>
        <w:spacing w:line="276" w:lineRule="auto"/>
      </w:pPr>
      <w:r>
        <w:rPr>
          <w:rFonts w:ascii="Times New Roman" w:hAnsi="Times New Roman" w:eastAsia="Times New Roman"/>
          <w:b/>
          <w:bCs/>
          <w:sz w:val="22"/>
        </w:rPr>
        <w:t xml:space="preserve">Key retrospective metrics.</w:t>
      </w:r>
      <w:r>
        <w:rPr>
          <w:rFonts w:ascii="Times New Roman" w:hAnsi="Times New Roman" w:eastAsia="Times New Roman"/>
          <w:sz w:val="22"/>
        </w:rPr>
        <w:t xml:space="preserve"> </w:t>
      </w:r>
      <w:r>
        <w:rPr>
          <w:rFonts w:ascii="Times New Roman" w:hAnsi="Times New Roman" w:eastAsia="Times New Roman"/>
          <w:sz w:val="22"/>
        </w:rPr>
        <w:t xml:space="preserve">AdaBoost showed moderate ranking performance (C-index = 0.607) and an association between standardized risk score and survival (HR = 1.430, 95% CI: 1.21–1.70,</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XGBoost achieved the highest internal AUC (0.781), whereas other algorithms showed higher C-index values. This metric discordance argues against presenting any single model as clinically superior.</w:t>
      </w:r>
    </w:p>
    <w:p>
      <w:pPr>
        <w:pStyle w:val="BodyText"/>
        <w:spacing w:after="120" w:line="276" w:lineRule="auto"/>
      </w:pPr>
      <w:r>
        <w:rPr>
          <w:rFonts w:ascii="Times New Roman" w:hAnsi="Times New Roman" w:eastAsia="Times New Roman"/>
          <w:b w:val="0"/>
          <w:i w:val="0"/>
          <w:sz w:val="22"/>
        </w:rPr>
        <w:t>Score-Group Separation: AdaBoost separated a TCGA complete-case subset into high-score and low-score groups with different survival outcomes (log-rank P = 0.005,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6A–B). Risk-score ordering, survival status, and feature-expression patterns are shown as descriptive internal score-behavior summaries (Figure 6C–E), and decision-curve analysis is reported only as exploratory net-benefit visualization (Figure 6F).</w:t>
      </w:r>
    </w:p>
    <w:bookmarkStart w:id="64" w:name="fig:6"/>
    <w:p>
      <w:pPr>
        <w:pStyle w:val="CaptionedFigure"/>
        <w:spacing w:line="276" w:lineRule="auto"/>
      </w:pPr>
      <w:r>
        <w:rPr>
          <w:rFonts w:ascii="Times New Roman" w:hAnsi="Times New Roman" w:eastAsia="Times New Roman"/>
          <w:sz w:val="22"/>
        </w:rP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6. Retrospective score behavior of the C1Q-centered feature set.</w:t>
      </w:r>
      <w:r>
        <w:rPr>
          <w:rFonts w:ascii="Times New Roman" w:hAnsi="Times New Roman" w:eastAsia="Times New Roman"/>
          <w:b w:val="0"/>
          <w:sz w:val="20"/>
        </w:rPr>
        <w:t xml:space="preserve"> Panel A, Kaplan–Meier analysis shows survival separation between high- and low-score groups in a TCGA complete-case subset. Panel B, Time-dependent ROC curves quantify discrimination at 1, 3, and 5 years. Panels C–E, Risk-score ordering, survival-status distribution, and feature-expression heatmap summarize internal score behavior across patients. Panel F, Decision curve analysis provides exploratory net-benefit visualization and is not interpreted as clinical utility evidence.</w:t>
      </w:r>
    </w:p>
    <w:bookmarkEnd w:id="64"/>
    <w:p>
      <w:pPr>
        <w:pStyle w:val="BodyText"/>
        <w:spacing w:line="276" w:lineRule="auto"/>
      </w:pPr>
      <w:r>
        <w:rPr>
          <w:rFonts w:ascii="Times New Roman" w:hAnsi="Times New Roman" w:eastAsia="Times New Roman"/>
          <w:b/>
          <w:bCs/>
          <w:sz w:val="22"/>
        </w:rPr>
        <w:t xml:space="preserve">External Traceability</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sz w:val="22"/>
        </w:rPr>
        <w:t xml:space="preserve">In GSE31210, the feature set showed attenuated but directionally compatible score behavior (AUC = 0.650, C-index = 0.629; Figure </w:t>
      </w:r>
      <w:hyperlink w:anchor="fig:7">
        <w:r>
          <w:rPr>
            <w:rStyle w:val="Hyperlink"/>
          </w:rPr>
          <w:t xml:space="preserve">7</w:t>
        </w:r>
      </w:hyperlink>
      <w:r>
        <w:rPr>
          <w:rFonts w:ascii="Times New Roman" w:hAnsi="Times New Roman" w:eastAsia="Times New Roman"/>
          <w:sz w:val="22"/>
        </w:rP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spacing w:line="276" w:lineRule="auto"/>
      </w:pPr>
      <w:r>
        <w:rPr>
          <w:rFonts w:ascii="Times New Roman" w:hAnsi="Times New Roman" w:eastAsia="Times New Roman"/>
          <w:sz w:val="22"/>
        </w:rP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7. External traceability and transferability.</w:t>
      </w:r>
      <w:r>
        <w:rPr>
          <w:rFonts w:ascii="Times New Roman" w:hAnsi="Times New Roman" w:eastAsia="Times New Roman"/>
          <w:b w:val="0"/>
          <w:sz w:val="20"/>
        </w:rPr>
        <w:t xml:space="preserve"> Panel A, Kaplan–Meier display in the GSE31210 traceability cohort summarizes score-group separation. Panel B, Cross-cohort discrimination metrics summarize transferability. Panel C, Cross-platform risk-score consistency is shown as technical traceability. Panel D, Pan-cancer C1Q-axis patterns are interpreted as exploratory biological context. These panels support external traceability rather than definitive evidence.</w:t>
      </w:r>
    </w:p>
    <w:bookmarkEnd w:id="68"/>
    <w:bookmarkEnd w:id="69"/>
    <w:bookmarkStart w:id="70" w:name="subsec:res_immuno"/>
    <w:p>
      <w:pPr>
        <w:pStyle w:val="Heading2"/>
        <w:spacing w:line="276" w:lineRule="auto"/>
      </w:pPr>
      <w:r>
        <w:rPr>
          <w:rFonts w:ascii="Times New Roman" w:hAnsi="Times New Roman" w:eastAsia="Times New Roman"/>
          <w:b/>
          <w:sz w:val="24"/>
        </w:rPr>
        <w:t xml:space="preserve">Exploratory Immunotherapy-Response Association</w:t>
      </w:r>
    </w:p>
    <w:p>
      <w:pPr>
        <w:pStyle w:val="FirstParagraph"/>
        <w:spacing w:line="276" w:lineRule="auto"/>
      </w:pPr>
      <w:r>
        <w:rPr>
          <w:rFonts w:ascii="Times New Roman" w:hAnsi="Times New Roman" w:eastAsia="Times New Roman"/>
          <w:sz w:val="22"/>
        </w:rP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spacing w:line="276" w:lineRule="auto"/>
      </w:pPr>
      <w:r>
        <w:rPr>
          <w:rFonts w:ascii="Times New Roman" w:hAnsi="Times New Roman" w:eastAsia="Times New Roman"/>
          <w:sz w:val="22"/>
        </w:rP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spacing w:line="276" w:lineRule="auto"/>
      </w:pPr>
      <w:r>
        <w:rPr>
          <w:rFonts w:ascii="Times New Roman" w:hAnsi="Times New Roman" w:eastAsia="Times New Roman"/>
          <w:sz w:val="22"/>
        </w:rP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spacing w:line="276" w:lineRule="auto"/>
      </w:pPr>
      <w:r>
        <w:rPr>
          <w:rFonts w:ascii="Times New Roman" w:hAnsi="Times New Roman" w:eastAsia="Times New Roman"/>
          <w:b/>
          <w:sz w:val="24"/>
        </w:rPr>
        <w:t xml:space="preserve">Multivariable Survival Association</w:t>
      </w:r>
    </w:p>
    <w:p>
      <w:pPr>
        <w:pStyle w:val="FirstParagraph"/>
        <w:spacing w:before="0" w:after="60" w:line="276" w:lineRule="auto"/>
      </w:pPr>
      <w:r>
        <w:rPr>
          <w:rFonts w:ascii="Times New Roman" w:hAnsi="Times New Roman" w:eastAsia="Times New Roman"/>
          <w:sz w:val="22"/>
        </w:rPr>
        <w:t>To assess whether the score retained survival association after adjustment for available clinical variables, we performed Cox regression analyses (Table 5, Supplementary Table S13).</w:t>
      </w:r>
    </w:p>
    <w:p>
      <w:pPr>
        <w:pStyle w:val="BodyText"/>
        <w:spacing w:before="0" w:after="120" w:line="276" w:lineRule="auto"/>
      </w:pPr>
      <w:r>
        <w:rPr>
          <w:rFonts w:ascii="Times New Roman" w:hAnsi="Times New Roman" w:eastAsia="Times New Roman"/>
          <w:sz w:val="22"/>
        </w:rPr>
        <w:t>In TCGA complete-case models, the standardized risk score retained an association with overall survival after adjustment for age, gender, and stage (multivariable HR = 1.430, 95% CI: 1.21–1.70; Table 5).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spacing w:line="276" w:lineRule="auto"/>
      </w:pPr>
      <w:r>
        <w:rPr>
          <w:rFonts w:ascii="Times New Roman" w:hAnsi="Times New Roman" w:eastAsia="Times New Roman"/>
          <w:b/>
          <w:sz w:val="24"/>
        </w:rPr>
        <w:t xml:space="preserve">Integration of MR-Prioritized Genes and Spatial Correlations</w:t>
      </w:r>
    </w:p>
    <w:p>
      <w:pPr>
        <w:pStyle w:val="FirstParagraph"/>
        <w:spacing w:before="0" w:after="60" w:line="276" w:lineRule="auto"/>
      </w:pPr>
      <w:r>
        <w:rPr>
          <w:rFonts w:ascii="Times New Roman" w:hAnsi="Times New Roman" w:eastAsia="Times New Roman"/>
          <w:sz w:val="22"/>
        </w:rPr>
        <w:t>The 91-feature stability set, the 198-gene MR-prioritized set, and the spatially clustered genes were not treated as interchangeable evidence layers. Instead, convergence across these layers was used to rank follow-up candidates (Table 4). KCNAB2 was retained as a recurrent candidate because it appeared in the stable feature set, was prioritized by MR, and showed measurable but modest spatial-context support. SPP1 and the C1Q-family genes provided the clearest macrophage-context contrast, whereas CDC42, PLOD1, LINC00339, and UBXN10 were treated as secondary network or spatial-context candidates.</w:t>
      </w:r>
    </w:p>
    <w:p>
      <w:pPr>
        <w:pStyle w:val="Caption"/>
        <w:spacing w:before="120" w:after="80" w:line="276" w:lineRule="auto"/>
        <w:jc w:val="left"/>
      </w:pPr>
      <w:r>
        <w:rPr>
          <w:rFonts w:ascii="Times New Roman" w:hAnsi="Times New Roman" w:eastAsia="Times New Roman"/>
          <w:b/>
          <w:i w:val="0"/>
          <w:sz w:val="20"/>
        </w:rPr>
        <w:t>Table 4. Cross-layer evidence map for prioritized candidate genes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Annotation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Selection Stability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Moran’s 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Network Degree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Correlation (r)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Macrophage Reg.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Ion Channel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SPP1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TME Modulation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LINC00339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Long ncRNA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Signal Transduction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Collagen Modification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Ubiquitination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N.D., not determined. Selection stability indicates membership in the 91-feature stability-prioritized set. Network degree centrality derives from the MR-prioritized network. Correlation represents association with immune-context estimates. These entries identify candidates for follow-up and should not be read as causal, spatial, or clinical confirmation.</w:t>
      </w:r>
    </w:p>
    <w:bookmarkStart w:id="72" w:name="tab:cox_regression"/>
    <w:p>
      <w:pPr>
        <w:pStyle w:val="Caption"/>
        <w:spacing w:before="120" w:after="80" w:line="276" w:lineRule="auto"/>
        <w:jc w:val="left"/>
      </w:pPr>
      <w:r>
        <w:rPr>
          <w:rFonts w:ascii="Times New Roman" w:hAnsi="Times New Roman" w:eastAsia="Times New Roman"/>
          <w:b/>
          <w:i w:val="0"/>
          <w:sz w:val="20"/>
        </w:rPr>
        <w:t>Table 5. Univariate and multivariable Cox regression analysis in the TCGA discovery cohort (N = 1,038)</w:t>
      </w:r>
    </w:p>
    <w:tbl>
      <w:tblPr>
        <w:tblStyle w:val="Table"/>
        <w:tblW w:type="pct" w:w="5000"/>
        <w:tblLayout w:type="autofit"/>
        <w:tblLook w:firstRow="1" w:lastRow="0" w:firstColumn="0" w:lastColumn="0" w:noHBand="0" w:noVBand="0" w:val="0020"/>
        <w:tblCaption w:val="Univariate and multivariable Cox regression analysis in the TCGA discovery cohort (N=1,038)"/>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Univariate analysis</w:t>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Multivariable analysis</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Covariate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Risk Scoreᵃ</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2.45 (1.85–3.24)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1.02 (1.00–1.03)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1.01 (0.99–1.03)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0.217</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Gender (Male vs Female)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0.98 (0.73–1.32)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0.898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0.90 (0.67–1.21)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0.482</w:t>
            </w:r>
          </w:p>
        </w:tc>
      </w:tr>
      <w:tr>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Stage (IV vs I)</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1.33 (1.09–1.61)</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1.35 (1.11–1.65)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0.003</w:t>
            </w:r>
          </w:p>
        </w:tc>
      </w:tr>
    </w:tbl>
    <w:p>
      <w:pPr>
        <w:spacing w:before="0" w:after="120" w:line="276" w:lineRule="auto"/>
        <w:jc w:val="left"/>
      </w:pPr>
      <w:r>
        <w:rPr>
          <w:rFonts w:ascii="Times New Roman" w:hAnsi="Times New Roman" w:eastAsia="Times New Roman"/>
          <w:b w:val="0"/>
          <w:i/>
          <w:sz w:val="18"/>
        </w:rPr>
        <w:t>Note: Univariate and multivariable Cox regression analysis in the TCGA cohort included risk score, age, gender, and AJCC stage. ᵃRisk score was standardized before analysis. The HR represents the change in risk per standard-deviation increase in risk score. These retrospective associations require external and prospective testing before clinical interpretation. For GSE31210 traceability results, see Supplementary Table S13.</w:t>
      </w:r>
    </w:p>
    <w:bookmarkEnd w:id="72"/>
    <w:bookmarkEnd w:id="73"/>
    <w:bookmarkStart w:id="78" w:name="public-protein-expression-context"/>
    <w:p>
      <w:pPr>
        <w:pStyle w:val="Heading2"/>
        <w:spacing w:line="276" w:lineRule="auto"/>
      </w:pPr>
      <w:r>
        <w:rPr>
          <w:rFonts w:ascii="Times New Roman" w:hAnsi="Times New Roman" w:eastAsia="Times New Roman"/>
          <w:b/>
          <w:sz w:val="24"/>
        </w:rPr>
        <w:t xml:space="preserve">Public Protein-Expression Context</w:t>
      </w:r>
    </w:p>
    <w:p>
      <w:pPr>
        <w:pStyle w:val="FirstParagraph"/>
        <w:spacing w:line="276" w:lineRule="auto"/>
      </w:pPr>
      <w:r>
        <w:rPr>
          <w:rFonts w:ascii="Times New Roman" w:hAnsi="Times New Roman" w:eastAsia="Times New Roman"/>
          <w:sz w:val="22"/>
        </w:rPr>
        <w:t xml:space="preserve">We cross-referenced public Human Protein Atlas immunohistochemistry images for protein-level context. KCNAB2 showed cytoplasmic staining in available lung tissue images, while SPP1 was predominantly stromal in the inspected examples (Figure</w:t>
      </w:r>
      <w:r>
        <w:rPr>
          <w:rFonts w:ascii="Times New Roman" w:hAnsi="Times New Roman" w:eastAsia="Times New Roman"/>
          <w:sz w:val="22"/>
        </w:rPr>
        <w:t xml:space="preserve"> </w:t>
      </w:r>
      <w:hyperlink w:anchor="fig:8">
        <w:r>
          <w:rPr>
            <w:rStyle w:val="Hyperlink"/>
          </w:rPr>
          <w:t xml:space="preserve">8</w:t>
        </w:r>
      </w:hyperlink>
      <w:r>
        <w:rPr>
          <w:rFonts w:ascii="Times New Roman" w:hAnsi="Times New Roman" w:eastAsia="Times New Roman"/>
          <w:sz w:val="22"/>
        </w:rP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spacing w:line="276" w:lineRule="auto"/>
      </w:pPr>
      <w:r>
        <w:rPr>
          <w:rFonts w:ascii="Times New Roman" w:hAnsi="Times New Roman" w:eastAsia="Times New Roman"/>
          <w:sz w:val="22"/>
        </w:rP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8. Public protein-expression context for KCNAB2 and SPP1 and CosMx neighborhood analysis.</w:t>
      </w:r>
      <w:r>
        <w:rPr>
          <w:rFonts w:ascii="Times New Roman" w:hAnsi="Times New Roman" w:eastAsia="Times New Roman"/>
          <w:b w:val="0"/>
          <w:sz w:val="20"/>
        </w:rPr>
        <w:t xml:space="preserve"> (A) Representative Human Protein Atlas immunohistochemistry (IHC) image of KCNAB2 expression in normal lung tissue. (B) Representative HPA IHC image of KCNAB2 in lung cancer tissue. (C) Single-cell expression distribution of KCNAB2 (nCPM), providing context for candidate-cell localization. (D) Representative HPA IHC image of SPP1 expression in normal lung tissue. (E) Representative HPA IHC image of SPP1 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spacing w:line="276" w:lineRule="auto"/>
      </w:pPr>
      <w:r>
        <w:rPr>
          <w:rFonts w:ascii="Times New Roman" w:hAnsi="Times New Roman" w:eastAsia="Times New Roman"/>
          <w:b/>
          <w:sz w:val="28"/>
        </w:rPr>
        <w:t xml:space="preserve">Discussion</w:t>
      </w:r>
    </w:p>
    <w:bookmarkStart w:id="80" w:name="principal-findings"/>
    <w:p>
      <w:pPr>
        <w:pStyle w:val="Heading2"/>
        <w:spacing w:line="276" w:lineRule="auto"/>
      </w:pPr>
      <w:r>
        <w:rPr>
          <w:rFonts w:ascii="Times New Roman" w:hAnsi="Times New Roman" w:eastAsia="Times New Roman"/>
          <w:b/>
          <w:sz w:val="24"/>
        </w:rPr>
        <w:t xml:space="preserve">Principal Findings</w:t>
      </w:r>
    </w:p>
    <w:p>
      <w:pPr>
        <w:pStyle w:val="FirstParagraph"/>
        <w:spacing w:line="276" w:lineRule="auto"/>
      </w:pPr>
      <w:r>
        <w:rPr>
          <w:rFonts w:ascii="Times New Roman" w:hAnsi="Times New Roman" w:eastAsia="Times New Roman"/>
          <w:sz w:val="22"/>
        </w:rP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spacing w:line="276" w:lineRule="auto"/>
      </w:pPr>
      <w:r>
        <w:rPr>
          <w:rFonts w:ascii="Times New Roman" w:hAnsi="Times New Roman" w:eastAsia="Times New Roman"/>
          <w:sz w:val="22"/>
        </w:rPr>
        <w:t xml:space="preserve">The principal findings were: (1) nested cross-validation identified a stable 91-feature set enriched for immune and macrophage-context signals; (2) MR prioritized several candidates, including</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but with the usual instrumental-variable caveats; (3) C1Q-family genes showed moderate spatial clustering in patient-limited spatial data, while</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showed stronger spatial compartmentalization; (4) counterfactual scoring showed that the C1Q module is internally sensitive to</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spacing w:line="276" w:lineRule="auto"/>
      </w:pPr>
      <w:r>
        <w:rPr>
          <w:rFonts w:ascii="Times New Roman" w:hAnsi="Times New Roman" w:eastAsia="Times New Roman"/>
          <w:b/>
          <w:sz w:val="24"/>
        </w:rPr>
        <w:t xml:space="preserve">Interpretation of the Evidence Chain</w:t>
      </w:r>
    </w:p>
    <w:p>
      <w:pPr>
        <w:pStyle w:val="FirstParagraph"/>
        <w:spacing w:line="276" w:lineRule="auto"/>
      </w:pPr>
      <w:r>
        <w:rPr>
          <w:rFonts w:ascii="Times New Roman" w:hAnsi="Times New Roman" w:eastAsia="Times New Roman"/>
          <w:sz w:val="22"/>
        </w:rP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spacing w:line="276" w:lineRule="auto"/>
      </w:pPr>
      <w:r>
        <w:rPr>
          <w:rFonts w:ascii="Times New Roman" w:hAnsi="Times New Roman" w:eastAsia="Times New Roman"/>
          <w:sz w:val="22"/>
        </w:rP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spacing w:line="276" w:lineRule="auto"/>
      </w:pPr>
      <w:r>
        <w:rPr>
          <w:rFonts w:ascii="Times New Roman" w:hAnsi="Times New Roman" w:eastAsia="Times New Roman"/>
          <w:b/>
          <w:sz w:val="24"/>
        </w:rPr>
        <w:t xml:space="preserve">Biological Plausibility of the C1Q/SPP1 Spatial Context</w:t>
      </w:r>
    </w:p>
    <w:p>
      <w:pPr>
        <w:pStyle w:val="FirstParagraph"/>
        <w:spacing w:line="276" w:lineRule="auto"/>
      </w:pPr>
      <w:r>
        <w:rPr>
          <w:rFonts w:ascii="Times New Roman" w:hAnsi="Times New Roman" w:eastAsia="Times New Roman"/>
          <w:sz w:val="22"/>
        </w:rP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(Moran’s I = 0.712) delineated a distinct macrophage-associated compartment compatible with stromal-remodeling or immune-exclusion context, but it does not prove that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creates a physical barrier in NSCLC.</w:t>
      </w:r>
    </w:p>
    <w:p>
      <w:pPr>
        <w:pStyle w:val="BodyText"/>
        <w:spacing w:line="276" w:lineRule="auto"/>
      </w:pPr>
      <w:r>
        <w:rPr>
          <w:rFonts w:ascii="Times New Roman" w:hAnsi="Times New Roman" w:eastAsia="Times New Roman"/>
          <w:sz w:val="22"/>
        </w:rPr>
        <w:t xml:space="preserve">Additional candidates such as</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spacing w:line="276" w:lineRule="auto"/>
      </w:pPr>
      <w:r>
        <w:rPr>
          <w:rFonts w:ascii="Times New Roman" w:hAnsi="Times New Roman" w:eastAsia="Times New Roman"/>
          <w:b/>
          <w:sz w:val="24"/>
        </w:rPr>
        <w:t xml:space="preserve">KCNAB2 as a Candidate Context Feature</w:t>
      </w:r>
    </w:p>
    <w:p>
      <w:pPr>
        <w:pStyle w:val="FirstParagraph"/>
        <w:spacing w:line="276" w:lineRule="auto"/>
      </w:pPr>
      <w:r>
        <w:rPr>
          <w:rFonts w:ascii="Times New Roman" w:hAnsi="Times New Roman" w:eastAsia="Times New Roman"/>
          <w:b/>
          <w:bCs/>
          <w:i/>
          <w:iCs/>
          <w:sz w:val="22"/>
        </w:rPr>
        <w:t xml:space="preserve">KCNAB2</w:t>
      </w:r>
      <w:r>
        <w:rPr>
          <w:rFonts w:ascii="Times New Roman" w:hAnsi="Times New Roman" w:eastAsia="Times New Roman"/>
          <w:sz w:val="22"/>
        </w:rP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w:t>
      </w:r>
      <w:r>
        <w:rPr>
          <w:rFonts w:ascii="Times New Roman" w:hAnsi="Times New Roman" w:eastAsia="Times New Roman"/>
          <w:sz w:val="22"/>
        </w:rP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spacing w:line="276" w:lineRule="auto"/>
      </w:pPr>
      <w:r>
        <w:rPr>
          <w:rFonts w:ascii="Times New Roman" w:hAnsi="Times New Roman" w:eastAsia="Times New Roman"/>
          <w:b/>
          <w:sz w:val="24"/>
        </w:rPr>
        <w:t xml:space="preserve">Machine Learning Model Behavior and Its Limits</w:t>
      </w:r>
    </w:p>
    <w:p>
      <w:pPr>
        <w:pStyle w:val="FirstParagraph"/>
        <w:spacing w:line="276" w:lineRule="auto"/>
      </w:pPr>
      <w:r>
        <w:rPr>
          <w:rFonts w:ascii="Times New Roman" w:hAnsi="Times New Roman" w:eastAsia="Times New Roman"/>
          <w:sz w:val="22"/>
        </w:rP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spacing w:line="276" w:lineRule="auto"/>
      </w:pPr>
      <w:r>
        <w:rPr>
          <w:rFonts w:ascii="Times New Roman" w:hAnsi="Times New Roman" w:eastAsia="Times New Roman"/>
          <w:sz w:val="22"/>
        </w:rP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spacing w:line="276" w:lineRule="auto"/>
      </w:pPr>
      <w:r>
        <w:rPr>
          <w:rFonts w:ascii="Times New Roman" w:hAnsi="Times New Roman" w:eastAsia="Times New Roman"/>
          <w:b/>
          <w:sz w:val="24"/>
        </w:rPr>
        <w:t xml:space="preserve">Future Translation Requirements</w:t>
      </w:r>
    </w:p>
    <w:p>
      <w:pPr>
        <w:pStyle w:val="FirstParagraph"/>
        <w:spacing w:line="276" w:lineRule="auto"/>
      </w:pPr>
      <w:r>
        <w:rPr>
          <w:rFonts w:ascii="Times New Roman" w:hAnsi="Times New Roman" w:eastAsia="Times New Roman"/>
          <w:sz w:val="22"/>
        </w:rP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spacing w:line="276" w:lineRule="auto"/>
      </w:pPr>
      <w:r>
        <w:rPr>
          <w:rFonts w:ascii="Times New Roman" w:hAnsi="Times New Roman" w:eastAsia="Times New Roman"/>
          <w:b/>
          <w:sz w:val="24"/>
        </w:rPr>
        <w:t xml:space="preserve">Limitations and Future Directions</w:t>
      </w:r>
    </w:p>
    <w:p>
      <w:pPr>
        <w:pStyle w:val="FirstParagraph"/>
        <w:spacing w:line="276" w:lineRule="auto"/>
      </w:pPr>
      <w:r>
        <w:rPr>
          <w:rFonts w:ascii="Times New Roman" w:hAnsi="Times New Roman" w:eastAsia="Times New Roman"/>
          <w:sz w:val="22"/>
        </w:rP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spacing w:line="276" w:lineRule="auto"/>
      </w:pPr>
      <w:r>
        <w:rPr>
          <w:rFonts w:ascii="Times New Roman" w:hAnsi="Times New Roman" w:eastAsia="Times New Roman"/>
          <w:sz w:val="22"/>
        </w:rP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spacing w:line="276" w:lineRule="auto"/>
      </w:pPr>
      <w:r>
        <w:rPr>
          <w:rFonts w:ascii="Times New Roman" w:hAnsi="Times New Roman" w:eastAsia="Times New Roman"/>
          <w:b/>
          <w:sz w:val="28"/>
        </w:rPr>
        <w:t xml:space="preserve">Conclusions</w:t>
      </w:r>
    </w:p>
    <w:p>
      <w:pPr>
        <w:pStyle w:val="FirstParagraph"/>
        <w:spacing w:line="276" w:lineRule="auto"/>
      </w:pPr>
      <w:r>
        <w:rPr>
          <w:rFonts w:ascii="Times New Roman" w:hAnsi="Times New Roman" w:eastAsia="Times New Roman"/>
          <w:sz w:val="22"/>
        </w:rP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spacing w:line="276" w:lineRule="auto"/>
      </w:pPr>
      <w:r>
        <w:rPr>
          <w:rFonts w:ascii="Times New Roman" w:hAnsi="Times New Roman" w:eastAsia="Times New Roman"/>
          <w:b/>
          <w:sz w:val="28"/>
        </w:rPr>
        <w:t xml:space="preserve">Supplementary Information</w:t>
      </w:r>
    </w:p>
    <w:p>
      <w:pPr>
        <w:pStyle w:val="FirstParagraph"/>
        <w:spacing w:line="276" w:lineRule="auto"/>
      </w:pPr>
      <w:r>
        <w:rPr>
          <w:rFonts w:ascii="Times New Roman" w:hAnsi="Times New Roman" w:eastAsia="Times New Roman"/>
          <w:b/>
          <w:bCs/>
          <w:sz w:val="22"/>
        </w:rPr>
        <w:t xml:space="preserve">Additional file 1: Supplementary Material.</w:t>
      </w:r>
      <w:r>
        <w:rPr>
          <w:rFonts w:ascii="Times New Roman" w:hAnsi="Times New Roman" w:eastAsia="Times New Roman"/>
          <w:sz w:val="22"/>
        </w:rPr>
        <w:t xml:space="preserve"> </w:t>
      </w:r>
      <w:r>
        <w:rPr>
          <w:rFonts w:ascii="Times New Roman" w:hAnsi="Times New Roman" w:eastAsia="Times New Roman"/>
          <w:sz w:val="22"/>
        </w:rPr>
        <w:t xml:space="preserve">Contains Supplementary Figures S1–S12 and Supplementary Tables S1–S13, including feature-selection stability, MR diagnostics, spatial summaries, model-performance tables, external-cohort covariate summaries, and reporting-boundary tables.</w:t>
      </w:r>
    </w:p>
    <w:p>
      <w:pPr>
        <w:pStyle w:val="Heading1"/>
        <w:spacing w:before="240" w:after="120" w:line="276" w:lineRule="auto"/>
      </w:pPr>
      <w:r>
        <w:rPr>
          <w:rFonts w:ascii="Times New Roman" w:hAnsi="Times New Roman" w:eastAsia="Times New Roman"/>
          <w:b/>
          <w:i w:val="0"/>
          <w:sz w:val="28"/>
        </w:rPr>
        <w:t>Declarations</w:t>
      </w:r>
    </w:p>
    <w:p>
      <w:pPr>
        <w:pStyle w:val="Heading2"/>
        <w:spacing w:before="160" w:after="120" w:line="276" w:lineRule="auto"/>
      </w:pPr>
      <w:r>
        <w:rPr>
          <w:rFonts w:ascii="Times New Roman" w:hAnsi="Times New Roman" w:eastAsia="Times New Roman"/>
          <w:b/>
          <w:i w:val="0"/>
          <w:sz w:val="24"/>
        </w:rPr>
        <w:t>Ethics Approval and Consent to Participate</w:t>
      </w:r>
    </w:p>
    <w:p>
      <w:pPr>
        <w:pStyle w:val="BodyText"/>
        <w:spacing w:line="276" w:lineRule="auto"/>
      </w:pPr>
      <w:r>
        <w:rPr>
          <w:rFonts w:ascii="Times New Roman" w:hAnsi="Times New Roman" w:eastAsia="Times New Roman"/>
          <w:sz w:val="22"/>
        </w:rP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Heading2"/>
        <w:spacing w:before="160" w:after="120" w:line="276" w:lineRule="auto"/>
      </w:pPr>
      <w:r>
        <w:rPr>
          <w:rFonts w:ascii="Times New Roman" w:hAnsi="Times New Roman" w:eastAsia="Times New Roman"/>
          <w:b/>
          <w:i w:val="0"/>
          <w:sz w:val="24"/>
        </w:rPr>
        <w:t>Consent for Publication</w:t>
      </w:r>
    </w:p>
    <w:p>
      <w:pPr>
        <w:pStyle w:val="BodyText"/>
        <w:spacing w:line="276" w:lineRule="auto"/>
      </w:pPr>
      <w:r>
        <w:rPr>
          <w:rFonts w:ascii="Times New Roman" w:hAnsi="Times New Roman" w:eastAsia="Times New Roman"/>
          <w:sz w:val="22"/>
        </w:rPr>
        <w:t xml:space="preserve">Not applicable. This manuscript does not contain identifiable individual-person data. Public Human Protein Atlas images are used only as non-identifiable protein-expression context and are cited with source and license information.</w:t>
      </w:r>
    </w:p>
    <w:p>
      <w:pPr>
        <w:pStyle w:val="Heading2"/>
        <w:spacing w:before="160" w:after="120" w:line="276" w:lineRule="auto"/>
      </w:pPr>
      <w:r>
        <w:rPr>
          <w:rFonts w:ascii="Times New Roman" w:hAnsi="Times New Roman" w:eastAsia="Times New Roman"/>
          <w:b/>
          <w:i w:val="0"/>
          <w:sz w:val="24"/>
        </w:rPr>
        <w:t>Availability of Data and Materials</w:t>
      </w:r>
    </w:p>
    <w:p>
      <w:pPr>
        <w:pStyle w:val="BodyText"/>
        <w:spacing w:line="276" w:lineRule="auto"/>
      </w:pPr>
      <w:r>
        <w:rPr>
          <w:rFonts w:ascii="Times New Roman" w:hAnsi="Times New Roman" w:eastAsia="Times New Roman"/>
          <w:sz w:val="22"/>
        </w:rPr>
        <w:t xml:space="preserve">Publicly available datasets were analyzed in this study. These data can be found here:</w:t>
      </w:r>
    </w:p>
    <w:p>
      <w:pPr>
        <w:spacing w:line="276" w:lineRule="auto"/>
      </w:pPr>
      <w:r>
        <w:rPr>
          <w:rFonts w:ascii="Times New Roman" w:hAnsi="Times New Roman" w:eastAsia="Times New Roman"/>
          <w:sz w:val="22"/>
        </w:rPr>
        <w:t xml:space="preserve">The Cancer Genome Atlas (TCGA) NSCLC cohort data: NCI Genomic Data Commons (GDC) Portal (</w:t>
      </w:r>
      <w:hyperlink r:id="rId89">
        <w:r>
          <w:rPr>
            <w:rStyle w:val="Hyperlink"/>
          </w:rPr>
          <w:t xml:space="preserve">https://portal.gdc.cancer.gov</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Gene Expression Omnibus datasets: NCBI GEO.</w:t>
      </w:r>
      <w:r>
        <w:rPr>
          <w:rFonts w:ascii="Times New Roman" w:hAnsi="Times New Roman" w:eastAsia="Times New Roman"/>
          <w:sz w:val="22"/>
          <w:vertAlign w:val="superscript"/>
        </w:rPr>
        <w:t>52</w:t>
      </w:r>
      <w:r>
        <w:rPr>
          <w:rFonts w:ascii="Times New Roman" w:hAnsi="Times New Roman" w:eastAsia="Times New Roman"/>
          <w:sz w:val="22"/>
        </w:rPr>
        <w:t xml:space="preserve"> https://www.ncbi.nlm.nih.gov/geo/.</w:t>
      </w:r>
    </w:p>
    <w:p>
      <w:pPr>
        <w:spacing w:line="276" w:lineRule="auto"/>
      </w:pPr>
      <w:r>
        <w:rPr>
          <w:rFonts w:ascii="Times New Roman" w:hAnsi="Times New Roman" w:eastAsia="Times New Roman"/>
          <w:sz w:val="22"/>
        </w:rPr>
        <w:t xml:space="preserve">GSE31210: Lung adenocarcinoma traceability cohort (N=226 accession-level samples; N=178 analyzed with complete follow-up)</w:t>
      </w:r>
    </w:p>
    <w:p>
      <w:pPr>
        <w:spacing w:line="276" w:lineRule="auto"/>
      </w:pPr>
      <w:r>
        <w:rPr>
          <w:rFonts w:ascii="Times New Roman" w:hAnsi="Times New Roman" w:eastAsia="Times New Roman"/>
          <w:sz w:val="22"/>
        </w:rPr>
        <w:t xml:space="preserve">GSE91061: Melanoma immunotherapy cohort (N=109 samples)</w:t>
      </w:r>
    </w:p>
    <w:p>
      <w:pPr>
        <w:spacing w:line="276" w:lineRule="auto"/>
      </w:pPr>
      <w:r>
        <w:rPr>
          <w:rFonts w:ascii="Times New Roman" w:hAnsi="Times New Roman" w:eastAsia="Times New Roman"/>
          <w:sz w:val="22"/>
        </w:rPr>
        <w:t xml:space="preserve">GSE126044: NSCLC anti-PD-1 therapy cohort (N=16 patients)</w:t>
      </w:r>
    </w:p>
    <w:p>
      <w:pPr>
        <w:spacing w:line="276" w:lineRule="auto"/>
      </w:pPr>
      <w:r>
        <w:rPr>
          <w:rFonts w:ascii="Times New Roman" w:hAnsi="Times New Roman" w:eastAsia="Times New Roman"/>
          <w:sz w:val="22"/>
        </w:rPr>
        <w:t xml:space="preserve">GSE135222: NSCLC PD-1/PD-L1 inhibitor cohort (N=27 patients)</w:t>
      </w:r>
    </w:p>
    <w:p>
      <w:pPr>
        <w:spacing w:line="276" w:lineRule="auto"/>
      </w:pPr>
      <w:r>
        <w:rPr>
          <w:rFonts w:ascii="Times New Roman" w:hAnsi="Times New Roman" w:eastAsia="Times New Roman"/>
          <w:sz w:val="22"/>
        </w:rPr>
        <w:t xml:space="preserve">eQTL summary statistics: eQTL Catalogue (</w:t>
      </w:r>
      <w:hyperlink r:id="rId91">
        <w:r>
          <w:rPr>
            <w:rStyle w:val="Hyperlink"/>
          </w:rPr>
          <w:t xml:space="preserve">https://www.ebi.ac.uk/eqtl/</w:t>
        </w:r>
      </w:hyperlink>
      <w:r>
        <w:rPr>
          <w:rFonts w:ascii="Times New Roman" w:hAnsi="Times New Roman" w:eastAsia="Times New Roman"/>
          <w:sz w:val="22"/>
        </w:rPr>
        <w:t xml:space="preserve">) and eQTLGen Consortium (</w:t>
      </w:r>
      <w:hyperlink r:id="rId92">
        <w:r>
          <w:rPr>
            <w:rStyle w:val="Hyperlink"/>
          </w:rPr>
          <w:t xml:space="preserve">https://www.eqtlgen.org/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GTEx v8 data: GTEx Portal (</w:t>
      </w:r>
      <w:hyperlink r:id="rId93">
        <w:r>
          <w:rPr>
            <w:rStyle w:val="Hyperlink"/>
          </w:rPr>
          <w:t xml:space="preserve">https://gtexportal.org/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Immunohistochemistry images: Human Protein Atlas.</w:t>
      </w:r>
      <w:r>
        <w:rPr>
          <w:rFonts w:ascii="Times New Roman" w:hAnsi="Times New Roman" w:eastAsia="Times New Roman"/>
          <w:sz w:val="22"/>
          <w:vertAlign w:val="superscript"/>
        </w:rPr>
        <w:t>53</w:t>
      </w:r>
      <w:r>
        <w:rPr>
          <w:rFonts w:ascii="Times New Roman" w:hAnsi="Times New Roman" w:eastAsia="Times New Roman"/>
          <w:sz w:val="22"/>
        </w:rPr>
        <w:t xml:space="preserve"> https://www.proteinatlas.org; figure-specific source and license notes are provided in the source-data manifest.</w:t>
      </w:r>
    </w:p>
    <w:p>
      <w:pPr>
        <w:pStyle w:val="Heading2"/>
        <w:spacing w:before="160" w:after="120" w:line="276" w:lineRule="auto"/>
      </w:pPr>
      <w:r>
        <w:rPr>
          <w:rFonts w:ascii="Times New Roman" w:hAnsi="Times New Roman" w:eastAsia="Times New Roman"/>
          <w:b/>
          <w:i w:val="0"/>
          <w:sz w:val="24"/>
        </w:rPr>
        <w:t>Code Availability</w:t>
      </w:r>
    </w:p>
    <w:p>
      <w:pPr>
        <w:pStyle w:val="FirstParagraph"/>
        <w:spacing w:line="276" w:lineRule="auto"/>
      </w:pPr>
      <w:r>
        <w:rPr>
          <w:rFonts w:ascii="Times New Roman" w:hAnsi="Times New Roman" w:eastAsia="Times New Roman"/>
          <w:sz w:val="22"/>
        </w:rPr>
        <w:t xml:space="preserve">The source-data manifest, processed analysis tables, manuscript files, figures, and reproducibility notes are available in a public GitHub repository:</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spacing w:line="276" w:lineRule="auto"/>
      </w:pPr>
      <w:r>
        <w:rPr>
          <w:rFonts w:ascii="Times New Roman" w:hAnsi="Times New Roman" w:eastAsia="Times New Roman"/>
          <w:sz w:val="22"/>
        </w:rPr>
        <w:t xml:space="preserve">Repository integrity checks and reproducibility notes are available at</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Heading2"/>
        <w:spacing w:before="160" w:after="120" w:line="276" w:lineRule="auto"/>
      </w:pPr>
      <w:r>
        <w:rPr>
          <w:rFonts w:ascii="Times New Roman" w:hAnsi="Times New Roman" w:eastAsia="Times New Roman"/>
          <w:b/>
          <w:i w:val="0"/>
          <w:sz w:val="24"/>
        </w:rPr>
        <w:t>Reporting Guidelines</w:t>
      </w:r>
    </w:p>
    <w:p>
      <w:pPr>
        <w:pStyle w:val="BodyText"/>
        <w:spacing w:line="276" w:lineRule="auto"/>
      </w:pPr>
      <w:r>
        <w:rPr>
          <w:rFonts w:ascii="Times New Roman" w:hAnsi="Times New Roman" w:eastAsia="Times New Roman"/>
          <w:sz w:val="22"/>
        </w:rP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Heading2"/>
        <w:spacing w:before="160" w:after="120" w:line="276" w:lineRule="auto"/>
      </w:pPr>
      <w:r>
        <w:rPr>
          <w:rFonts w:ascii="Times New Roman" w:hAnsi="Times New Roman" w:eastAsia="Times New Roman"/>
          <w:b/>
          <w:i w:val="0"/>
          <w:sz w:val="24"/>
        </w:rPr>
        <w:t>Declaration of Conflicting Interests</w:t>
      </w:r>
    </w:p>
    <w:p>
      <w:pPr>
        <w:pStyle w:val="BodyText"/>
        <w:spacing w:line="276" w:lineRule="auto"/>
      </w:pPr>
      <w:r>
        <w:rPr>
          <w:rFonts w:ascii="Times New Roman" w:hAnsi="Times New Roman" w:eastAsia="Times New Roman"/>
          <w:sz w:val="22"/>
        </w:rPr>
        <w:t xml:space="preserve">The authors declare that they have no competing interests, financial or otherwise, that could influence the work reported in this paper.</w:t>
      </w:r>
    </w:p>
    <w:p>
      <w:pPr>
        <w:pStyle w:val="Heading2"/>
        <w:spacing w:before="160" w:after="120" w:line="276" w:lineRule="auto"/>
      </w:pPr>
      <w:r>
        <w:rPr>
          <w:rFonts w:ascii="Times New Roman" w:hAnsi="Times New Roman" w:eastAsia="Times New Roman"/>
          <w:b/>
          <w:i w:val="0"/>
          <w:sz w:val="24"/>
        </w:rPr>
        <w:t>Funding</w:t>
      </w:r>
    </w:p>
    <w:p>
      <w:pPr>
        <w:pStyle w:val="BodyText"/>
        <w:spacing w:line="276" w:lineRule="auto"/>
      </w:pPr>
      <w:r>
        <w:rPr>
          <w:rFonts w:ascii="Times New Roman" w:hAnsi="Times New Roman" w:eastAsia="Times New Roman"/>
          <w:sz w:val="22"/>
        </w:rP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Heading2"/>
        <w:spacing w:before="160" w:after="120" w:line="276" w:lineRule="auto"/>
      </w:pPr>
      <w:r>
        <w:rPr>
          <w:rFonts w:ascii="Times New Roman" w:hAnsi="Times New Roman" w:eastAsia="Times New Roman"/>
          <w:b/>
          <w:i w:val="0"/>
          <w:sz w:val="24"/>
        </w:rPr>
        <w:t>Authors' Contributions</w:t>
      </w:r>
    </w:p>
    <w:p>
      <w:pPr>
        <w:pStyle w:val="BodyText"/>
        <w:spacing w:line="276" w:lineRule="auto"/>
      </w:pPr>
      <w:r>
        <w:rPr>
          <w:rFonts w:ascii="Times New Roman" w:hAnsi="Times New Roman" w:eastAsia="Times New Roman"/>
          <w:sz w:val="22"/>
        </w:rP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Heading2"/>
        <w:spacing w:before="160" w:after="120" w:line="276" w:lineRule="auto"/>
      </w:pPr>
      <w:r>
        <w:rPr>
          <w:rFonts w:ascii="Times New Roman" w:hAnsi="Times New Roman" w:eastAsia="Times New Roman"/>
          <w:b/>
          <w:i w:val="0"/>
          <w:sz w:val="24"/>
        </w:rPr>
        <w:t>ORCID</w:t>
      </w:r>
    </w:p>
    <w:p>
      <w:pPr>
        <w:pStyle w:val="BodyText"/>
        <w:spacing w:line="276" w:lineRule="auto"/>
      </w:pPr>
      <w:r>
        <w:rPr>
          <w:rFonts w:ascii="Times New Roman" w:hAnsi="Times New Roman" w:eastAsia="Times New Roman"/>
          <w:sz w:val="22"/>
        </w:rPr>
        <w:t xml:space="preserve">Xiongjie Li:</w:t>
      </w:r>
      <w:r>
        <w:rPr>
          <w:rFonts w:ascii="Times New Roman" w:hAnsi="Times New Roman" w:eastAsia="Times New Roman"/>
          <w:sz w:val="22"/>
        </w:rPr>
        <w:t xml:space="preserve"> </w:t>
      </w:r>
      <w:hyperlink r:id="rId96">
        <w:r>
          <w:rPr>
            <w:rStyle w:val="Hyperlink"/>
          </w:rPr>
          <w:t xml:space="preserve">https://orcid.org/0009-0005-9507-6829</w:t>
        </w:r>
      </w:hyperlink>
      <w:r>
        <w:rPr>
          <w:rFonts w:ascii="Times New Roman" w:hAnsi="Times New Roman" w:eastAsia="Times New Roman"/>
          <w:sz w:val="22"/>
        </w:rPr>
        <w:t xml:space="preserve">.</w:t>
      </w:r>
    </w:p>
    <w:p>
      <w:pPr>
        <w:pStyle w:val="Heading2"/>
        <w:spacing w:before="160" w:after="120" w:line="276" w:lineRule="auto"/>
      </w:pPr>
      <w:r>
        <w:rPr>
          <w:rFonts w:ascii="Times New Roman" w:hAnsi="Times New Roman" w:eastAsia="Times New Roman"/>
          <w:b/>
          <w:i w:val="0"/>
          <w:sz w:val="24"/>
        </w:rPr>
        <w:t>Acknowledgements</w:t>
      </w:r>
    </w:p>
    <w:p>
      <w:pPr>
        <w:pStyle w:val="BodyText"/>
        <w:spacing w:line="276" w:lineRule="auto"/>
      </w:pPr>
      <w:r>
        <w:rPr>
          <w:rFonts w:ascii="Times New Roman" w:hAnsi="Times New Roman" w:eastAsia="Times New Roman"/>
          <w:sz w:val="22"/>
        </w:rPr>
        <w:t xml:space="preserve">The authors thank the investigators and participants of the public datasets and resources used in this study, including TCGA, GEO, eQTLGen, GTEx, and the Human Protein Atlas.</w:t>
      </w:r>
    </w:p>
    <w:bookmarkEnd w:id="97"/>
    <w:p>
      <w:pPr>
        <w:pStyle w:val="Heading1"/>
      </w:pPr>
      <w:r>
        <w:rPr>
          <w:rFonts w:ascii="Times New Roman" w:hAnsi="Times New Roman" w:eastAsia="Times New Roman"/>
          <w:b/>
          <w:sz w:val="28"/>
        </w:rPr>
        <w:t>References</w:t>
      </w:r>
    </w:p>
    <w:p>
      <w:pPr>
        <w:spacing w:after="60"/>
        <w:ind w:left="312" w:hanging="312"/>
      </w:pPr>
      <w:r>
        <w:rPr>
          <w:rFonts w:ascii="Times New Roman" w:hAnsi="Times New Roman" w:eastAsia="Times New Roman"/>
          <w:sz w:val="18"/>
        </w:rPr>
        <w:t>1. Sung H, Ferlay J, Siegel RL, et al. Global Cancer Statistics 2020: GLOBOCAN Estimates of Incidence and Mortality Worldwide for 36 Cancers in 185 Countries. CA Cancer J Clin. 2021;71(3):209-249. doi:10.3322/caac.21660</w:t>
      </w:r>
    </w:p>
    <w:p>
      <w:pPr>
        <w:spacing w:after="60"/>
        <w:ind w:left="312" w:hanging="312"/>
      </w:pPr>
      <w:r>
        <w:rPr>
          <w:rFonts w:ascii="Times New Roman" w:hAnsi="Times New Roman" w:eastAsia="Times New Roman"/>
          <w:sz w:val="18"/>
        </w:rPr>
        <w:t>2. Chen Z, Fillmore CM, Hammerman PS, Kim CF, Wong KK. Non-small-cell lung cancers: a heterogeneous set of diseases. Nat Rev Cancer. 2014;14(8):535-546. doi:10.1038/nrc3775</w:t>
      </w:r>
    </w:p>
    <w:p>
      <w:pPr>
        <w:spacing w:after="60"/>
        <w:ind w:left="312" w:hanging="312"/>
      </w:pPr>
      <w:r>
        <w:rPr>
          <w:rFonts w:ascii="Times New Roman" w:hAnsi="Times New Roman" w:eastAsia="Times New Roman"/>
          <w:sz w:val="18"/>
        </w:rPr>
        <w:t>3. Reck M, Rodríguez-Abreu D, Robinson AG, et al. Pembrolizumab versus Chemotherapy for PD-L1–Positive Non–Small-Cell Lung Cancer. N Engl J Med. 2016;375(19):1823-1833. doi:10.1056/nejmoa1606774</w:t>
      </w:r>
    </w:p>
    <w:p>
      <w:pPr>
        <w:spacing w:after="60"/>
        <w:ind w:left="312" w:hanging="312"/>
      </w:pPr>
      <w:r>
        <w:rPr>
          <w:rFonts w:ascii="Times New Roman" w:hAnsi="Times New Roman" w:eastAsia="Times New Roman"/>
          <w:sz w:val="18"/>
        </w:rPr>
        <w:t>4. Herbst RS, Giaccone G, de Marinis F, et al. Atezolizumab for First-Line Treatment of PD-L1–Selected Patients with NSCLC. N Engl J Med. 2020;383(14):1328-1339. doi:10.1056/nejmoa1917346</w:t>
      </w:r>
    </w:p>
    <w:p>
      <w:pPr>
        <w:spacing w:after="60"/>
        <w:ind w:left="312" w:hanging="312"/>
      </w:pPr>
      <w:r>
        <w:rPr>
          <w:rFonts w:ascii="Times New Roman" w:hAnsi="Times New Roman" w:eastAsia="Times New Roman"/>
          <w:sz w:val="18"/>
        </w:rPr>
        <w:t>5. Gandhi L, Rodríguez-Abreu D, Gadgeel S, et al. Pembrolizumab plus Chemotherapy in Metastatic Non–Small-Cell Lung Cancer. N Engl J Med. 2018;378(22):2078-2092. doi:10.1056/nejmoa1801005</w:t>
      </w:r>
    </w:p>
    <w:p>
      <w:pPr>
        <w:spacing w:after="60"/>
        <w:ind w:left="312" w:hanging="312"/>
      </w:pPr>
      <w:r>
        <w:rPr>
          <w:rFonts w:ascii="Times New Roman" w:hAnsi="Times New Roman" w:eastAsia="Times New Roman"/>
          <w:sz w:val="18"/>
        </w:rPr>
        <w:t>6. Passaro A, Attili I, de Marinis F. Neoadjuvant Chemotherapy Plus Immunotherapy in Early-Stage Resectable Non–Small-Cell Lung Cancer. J Clin Oncol. 2022;40(25):2871-2877. doi:10.1200/jco.22.00873</w:t>
      </w:r>
    </w:p>
    <w:p>
      <w:pPr>
        <w:spacing w:after="60"/>
        <w:ind w:left="312" w:hanging="312"/>
      </w:pPr>
      <w:r>
        <w:rPr>
          <w:rFonts w:ascii="Times New Roman" w:hAnsi="Times New Roman" w:eastAsia="Times New Roman"/>
          <w:sz w:val="18"/>
        </w:rPr>
        <w:t>7. Hellmann MD, Ciuleanu TE, Pluzanski A, et al. Nivolumab plus Ipilimumab in Lung Cancer with a High Tumor Mutational Burden. N Engl J Med. 2018;378(22):2093-2104. doi:10.1056/nejmoa1801946</w:t>
      </w:r>
    </w:p>
    <w:p>
      <w:pPr>
        <w:spacing w:after="60"/>
        <w:ind w:left="312" w:hanging="312"/>
      </w:pPr>
      <w:r>
        <w:rPr>
          <w:rFonts w:ascii="Times New Roman" w:hAnsi="Times New Roman" w:eastAsia="Times New Roman"/>
          <w:sz w:val="18"/>
        </w:rPr>
        <w:t>8. Marabelle A, Fakih M, Lopez J, et al. Association of tumour mutational burden with outcomes in patients with advanced solid tumours treated with pembrolizumab: prospective biomarker analysis of the multicohort, open-label, phase 2 KEYNOTE-158 study. Lancet Oncol. 2020;21(10):1353-1365. doi:10.1016/s1470-2045(20)30445-9</w:t>
      </w:r>
    </w:p>
    <w:p>
      <w:pPr>
        <w:spacing w:after="60"/>
        <w:ind w:left="312" w:hanging="312"/>
      </w:pPr>
      <w:r>
        <w:rPr>
          <w:rFonts w:ascii="Times New Roman" w:hAnsi="Times New Roman" w:eastAsia="Times New Roman"/>
          <w:sz w:val="18"/>
        </w:rPr>
        <w:t>9. Topalian SL, Taube JM, Anders RA, Pardoll DM. Mechanism-driven biomarkers to guide immune checkpoint blockade in cancer therapy. Nat Rev Cancer. 2016;16(5):275-287. doi:10.1038/nrc.2016.36</w:t>
      </w:r>
    </w:p>
    <w:p>
      <w:pPr>
        <w:spacing w:after="60"/>
        <w:ind w:left="312" w:hanging="312"/>
      </w:pPr>
      <w:r>
        <w:rPr>
          <w:rFonts w:ascii="Times New Roman" w:hAnsi="Times New Roman" w:eastAsia="Times New Roman"/>
          <w:sz w:val="18"/>
        </w:rPr>
        <w:t>10. Schoenfeld AJ, Hellmann MD. Acquired Resistance to Immune Checkpoint Inhibitors. Cancer Cell. 2020;37(4):443-455. doi:10.1016/j.ccell.2020.03.017</w:t>
      </w:r>
    </w:p>
    <w:p>
      <w:pPr>
        <w:spacing w:after="60"/>
        <w:ind w:left="312" w:hanging="312"/>
      </w:pPr>
      <w:r>
        <w:rPr>
          <w:rFonts w:ascii="Times New Roman" w:hAnsi="Times New Roman" w:eastAsia="Times New Roman"/>
          <w:sz w:val="18"/>
        </w:rPr>
        <w:t>11. Vodnala SK, Eil R, Kishton RJ, et al. T cell stemness and dysfunction in tumors are triggered by a common mechanism. Science. 2019;363(6434):0135. doi:10.1126/science.aau0135</w:t>
      </w:r>
    </w:p>
    <w:p>
      <w:pPr>
        <w:spacing w:after="60"/>
        <w:ind w:left="312" w:hanging="312"/>
      </w:pPr>
      <w:r>
        <w:rPr>
          <w:rFonts w:ascii="Times New Roman" w:hAnsi="Times New Roman" w:eastAsia="Times New Roman"/>
          <w:sz w:val="18"/>
        </w:rPr>
        <w:t>12. Vigneron N. Human Tumor Antigens and Cancer Immunotherapy. BioMed Research International. 2015;2015:1-17. doi:10.1155/2015/948501</w:t>
      </w:r>
    </w:p>
    <w:p>
      <w:pPr>
        <w:spacing w:after="60"/>
        <w:ind w:left="312" w:hanging="312"/>
      </w:pPr>
      <w:r>
        <w:rPr>
          <w:rFonts w:ascii="Times New Roman" w:hAnsi="Times New Roman" w:eastAsia="Times New Roman"/>
          <w:sz w:val="18"/>
        </w:rPr>
        <w:t>13. Jerby-Arnon L, Shah P, Cuoco MS, et al. A Cancer Cell Program Promotes T Cell Exclusion and Resistance to Checkpoint Blockade. Cell. 2018;175(4):984-997.e24. doi:10.1016/j.cell.2018.09.006</w:t>
      </w:r>
    </w:p>
    <w:p>
      <w:pPr>
        <w:spacing w:after="60"/>
        <w:ind w:left="312" w:hanging="312"/>
      </w:pPr>
      <w:r>
        <w:rPr>
          <w:rFonts w:ascii="Times New Roman" w:hAnsi="Times New Roman" w:eastAsia="Times New Roman"/>
          <w:sz w:val="18"/>
        </w:rPr>
        <w:t>14. Ståhl PL, Salmén F, Vickovic S, et al. Visualization and analysis of gene expression in tissue sections by spatial transcriptomics. Science. 2016;353(6294):78-82. doi:10.1126/science.aaf2403</w:t>
      </w:r>
    </w:p>
    <w:p>
      <w:pPr>
        <w:spacing w:after="60"/>
        <w:ind w:left="312" w:hanging="312"/>
      </w:pPr>
      <w:r>
        <w:rPr>
          <w:rFonts w:ascii="Times New Roman" w:hAnsi="Times New Roman" w:eastAsia="Times New Roman"/>
          <w:sz w:val="18"/>
        </w:rPr>
        <w:t>15. Marx V. Method of the Year: spatially resolved transcriptomics. Nat Methods. 2021;18(1):9-14. doi:10.1038/s41592-020-01033-y</w:t>
      </w:r>
    </w:p>
    <w:p>
      <w:pPr>
        <w:spacing w:after="60"/>
        <w:ind w:left="312" w:hanging="312"/>
      </w:pPr>
      <w:r>
        <w:rPr>
          <w:rFonts w:ascii="Times New Roman" w:hAnsi="Times New Roman" w:eastAsia="Times New Roman"/>
          <w:sz w:val="18"/>
        </w:rPr>
        <w:t>16. Zilionis R, Engblom C, Pfirschke C, et al. Single-Cell Transcriptomics of Human and Mouse Lung Cancers Reveals Conserved Myeloid Populations across Individuals and Species. Immunity. 2019;50(5):1317-1334.e10. doi:10.1016/j.immuni.2019.03.009</w:t>
      </w:r>
    </w:p>
    <w:p>
      <w:pPr>
        <w:spacing w:after="60"/>
        <w:ind w:left="312" w:hanging="312"/>
      </w:pPr>
      <w:r>
        <w:rPr>
          <w:rFonts w:ascii="Times New Roman" w:hAnsi="Times New Roman" w:eastAsia="Times New Roman"/>
          <w:sz w:val="18"/>
        </w:rPr>
        <w:t>17. Laumont CM, Nelson BH. B cells in the tumor microenvironment: Multi-faceted organizers, regulators, and effectors of anti-tumor immunity. Cancer Cell. 2023;41(3):466-489. doi:10.1016/j.ccell.2023.02.017</w:t>
      </w:r>
    </w:p>
    <w:p>
      <w:pPr>
        <w:spacing w:after="60"/>
        <w:ind w:left="312" w:hanging="312"/>
      </w:pPr>
      <w:r>
        <w:rPr>
          <w:rFonts w:ascii="Times New Roman" w:hAnsi="Times New Roman" w:eastAsia="Times New Roman"/>
          <w:sz w:val="18"/>
        </w:rPr>
        <w:t>18. Janesick A, Shelansky R, Gottscho AD, et al. High resolution mapping of the tumor microenvironment using integrated single-cell, spatial and in situ analysis. Nat Commun. 2023;14(1):8353. doi:10.1038/s41467-023-43458-x</w:t>
      </w:r>
    </w:p>
    <w:p>
      <w:pPr>
        <w:spacing w:after="60"/>
        <w:ind w:left="312" w:hanging="312"/>
      </w:pPr>
      <w:r>
        <w:rPr>
          <w:rFonts w:ascii="Times New Roman" w:hAnsi="Times New Roman" w:eastAsia="Times New Roman"/>
          <w:sz w:val="18"/>
        </w:rPr>
        <w:t>19. He K, Zhang X, Ren S, Sun J. Deep Residual Learning for Image Recognition. 2016 IEEE Conference on Computer Vision and Pattern Recognition (CVPR). 2016:770-778. doi:10.1109/cvpr.2016.90</w:t>
      </w:r>
    </w:p>
    <w:p>
      <w:pPr>
        <w:spacing w:after="60"/>
        <w:ind w:left="312" w:hanging="312"/>
      </w:pPr>
      <w:r>
        <w:rPr>
          <w:rFonts w:ascii="Times New Roman" w:hAnsi="Times New Roman" w:eastAsia="Times New Roman"/>
          <w:sz w:val="18"/>
        </w:rPr>
        <w:t>20. Campanella G, Hanna MG, Geneslaw L, et al. Clinical-grade computational pathology using weakly supervised deep learning on whole slide images. Nat Med. 2019;25(8):1301-1309. doi:10.1038/s41591-019-0508-1</w:t>
      </w:r>
    </w:p>
    <w:p>
      <w:pPr>
        <w:spacing w:after="60"/>
        <w:ind w:left="312" w:hanging="312"/>
      </w:pPr>
      <w:r>
        <w:rPr>
          <w:rFonts w:ascii="Times New Roman" w:hAnsi="Times New Roman" w:eastAsia="Times New Roman"/>
          <w:sz w:val="18"/>
        </w:rPr>
        <w:t>21. Valanarasu JMJ, Xu H, Usuyama N, et al. Multimodal AI generates virtual population for tumor microenvironment modeling. Cell. 2026;189(2):386-400.e19. doi:10.1016/j.cell.2025.11.016</w:t>
      </w:r>
    </w:p>
    <w:p>
      <w:pPr>
        <w:spacing w:after="60"/>
        <w:ind w:left="312" w:hanging="312"/>
      </w:pPr>
      <w:r>
        <w:rPr>
          <w:rFonts w:ascii="Times New Roman" w:hAnsi="Times New Roman" w:eastAsia="Times New Roman"/>
          <w:sz w:val="18"/>
        </w:rPr>
        <w:t>22. Wu Y, Yang S, Ma J, et al. Spatiotemporal Immune Landscape of Colorectal Cancer Liver Metastasis at Single-Cell Level. Cancer Discovery. 2022;12(1):134-153. doi:10.1158/2159-8290.cd-21-0316</w:t>
      </w:r>
    </w:p>
    <w:p>
      <w:pPr>
        <w:spacing w:after="60"/>
        <w:ind w:left="312" w:hanging="312"/>
      </w:pPr>
      <w:r>
        <w:rPr>
          <w:rFonts w:ascii="Times New Roman" w:hAnsi="Times New Roman" w:eastAsia="Times New Roman"/>
          <w:sz w:val="18"/>
        </w:rPr>
        <w:t>23. Chen RJ, Lu MY, Williamson DFK, et al. Pan-cancer integrative histology-genomic analysis via multimodal deep learning. Cancer Cell. 2022;40(8):865-878.e6. doi:10.1016/j.ccell.2022.07.004</w:t>
      </w:r>
    </w:p>
    <w:p>
      <w:pPr>
        <w:spacing w:after="60"/>
        <w:ind w:left="312" w:hanging="312"/>
      </w:pPr>
      <w:r>
        <w:rPr>
          <w:rFonts w:ascii="Times New Roman" w:hAnsi="Times New Roman" w:eastAsia="Times New Roman"/>
          <w:sz w:val="18"/>
        </w:rPr>
        <w:t>24. Thorsson V, Gibbs DL, Brown SD, et al. The Immune Landscape of Cancer. Immunity. 2018;48(4):812-830.e14. doi:10.1016/j.immuni.2018.03.023</w:t>
      </w:r>
    </w:p>
    <w:p>
      <w:pPr>
        <w:spacing w:after="60"/>
        <w:ind w:left="312" w:hanging="312"/>
      </w:pPr>
      <w:r>
        <w:rPr>
          <w:rFonts w:ascii="Times New Roman" w:hAnsi="Times New Roman" w:eastAsia="Times New Roman"/>
          <w:sz w:val="18"/>
        </w:rPr>
        <w:t>25. Subramanian I, Verma S, Kumar S, Jere A, Anamika K. Multi-omics Data Integration, Interpretation, and Its Application. Bioinform Biol Insights. 2020;14:117793221989905. doi:10.1177/1177932219899051</w:t>
      </w:r>
    </w:p>
    <w:p>
      <w:pPr>
        <w:spacing w:after="60"/>
        <w:ind w:left="312" w:hanging="312"/>
      </w:pPr>
      <w:r>
        <w:rPr>
          <w:rFonts w:ascii="Times New Roman" w:hAnsi="Times New Roman" w:eastAsia="Times New Roman"/>
          <w:sz w:val="18"/>
        </w:rPr>
        <w:t>26. Chaudhary K, Poirion OB, Lu L, Garmire LX. Deep Learning–Based Multi-Omics Integration Robustly Predicts Survival in Liver Cancer. Clinical Cancer Res. 2018;24(6):1248-1259. doi:10.1158/1078-0432.ccr-17-0853</w:t>
      </w:r>
    </w:p>
    <w:p>
      <w:pPr>
        <w:spacing w:after="60"/>
        <w:ind w:left="312" w:hanging="312"/>
      </w:pPr>
      <w:r>
        <w:rPr>
          <w:rFonts w:ascii="Times New Roman" w:hAnsi="Times New Roman" w:eastAsia="Times New Roman"/>
          <w:sz w:val="18"/>
        </w:rPr>
        <w:t>27. Sammut SJ, Crispin-Ortuzar M, Chin SF, et al. Multi-omic machine learning predictor of breast cancer therapy response. Nature. 2022;601(7894):623-629. doi:10.1038/s41586-021-04278-5</w:t>
      </w:r>
    </w:p>
    <w:p>
      <w:pPr>
        <w:spacing w:after="60"/>
        <w:ind w:left="312" w:hanging="312"/>
      </w:pPr>
      <w:r>
        <w:rPr>
          <w:rFonts w:ascii="Times New Roman" w:hAnsi="Times New Roman" w:eastAsia="Times New Roman"/>
          <w:sz w:val="18"/>
        </w:rPr>
        <w:t>28. Hoadley KA, Yau C, Hinoue T, et al. Cell-of-Origin Patterns Dominate the Molecular Classification of 10,000 Tumors from 33 Types of Cancer. Cell. 2018;173(2):291-304.e6. doi:10.1016/j.cell.2018.03.022</w:t>
      </w:r>
    </w:p>
    <w:p>
      <w:pPr>
        <w:spacing w:after="60"/>
        <w:ind w:left="312" w:hanging="312"/>
      </w:pPr>
      <w:r>
        <w:rPr>
          <w:rFonts w:ascii="Times New Roman" w:hAnsi="Times New Roman" w:eastAsia="Times New Roman"/>
          <w:sz w:val="18"/>
        </w:rPr>
        <w:t>29. The Cancer Genome Atlas Research Network. Comprehensive molecular profiling of lung adenocarcinoma. Nature. 2014;511(7511):543-550. doi:10.1038/nature13385</w:t>
      </w:r>
    </w:p>
    <w:p>
      <w:pPr>
        <w:spacing w:after="60"/>
        <w:ind w:left="312" w:hanging="312"/>
      </w:pPr>
      <w:r>
        <w:rPr>
          <w:rFonts w:ascii="Times New Roman" w:hAnsi="Times New Roman" w:eastAsia="Times New Roman"/>
          <w:sz w:val="18"/>
        </w:rPr>
        <w:t>30. The Cancer Genome Atlas Research Network. Comprehensive genomic characterization of squamous cell lung cancers. Nature. 2012;489(7417):519-525. doi:10.1038/nature11404</w:t>
      </w:r>
    </w:p>
    <w:p>
      <w:pPr>
        <w:spacing w:after="60"/>
        <w:ind w:left="312" w:hanging="312"/>
      </w:pPr>
      <w:r>
        <w:rPr>
          <w:rFonts w:ascii="Times New Roman" w:hAnsi="Times New Roman" w:eastAsia="Times New Roman"/>
          <w:sz w:val="18"/>
        </w:rPr>
        <w:t>31. Thorsson V, Gibbs DL, Brown SD, et al. The Immune Landscape of Cancer. Immunity. 2018;48(4):812-830.e14. doi:10.1016/j.immuni.2018.03.023</w:t>
      </w:r>
    </w:p>
    <w:p>
      <w:pPr>
        <w:spacing w:after="60"/>
        <w:ind w:left="312" w:hanging="312"/>
      </w:pPr>
      <w:r>
        <w:rPr>
          <w:rFonts w:ascii="Times New Roman" w:hAnsi="Times New Roman" w:eastAsia="Times New Roman"/>
          <w:sz w:val="18"/>
        </w:rPr>
        <w:t>32. Zhang L, Li Z, Skrzypczynska KM, et al. Single-Cell Analyses Inform Mechanisms of Myeloid-Targeted Therapies in Colon Cancer. Cell. 2020;181(2):442-459.e29. doi:10.1016/j.cell.2020.03.048</w:t>
      </w:r>
    </w:p>
    <w:p>
      <w:pPr>
        <w:spacing w:after="60"/>
        <w:ind w:left="312" w:hanging="312"/>
      </w:pPr>
      <w:r>
        <w:rPr>
          <w:rFonts w:ascii="Times New Roman" w:hAnsi="Times New Roman" w:eastAsia="Times New Roman"/>
          <w:sz w:val="18"/>
        </w:rPr>
        <w:t>33. Davey Smith G, Ebrahim S. ‘Mendelian randomization’: can genetic epidemiology contribute to understanding environmental determinants of disease?*. International Journal of Epidemiology. 2003;32(1):1-22. doi:10.1093/ije/dyg070</w:t>
      </w:r>
    </w:p>
    <w:p>
      <w:pPr>
        <w:spacing w:after="60"/>
        <w:ind w:left="312" w:hanging="312"/>
      </w:pPr>
      <w:r>
        <w:rPr>
          <w:rFonts w:ascii="Times New Roman" w:hAnsi="Times New Roman" w:eastAsia="Times New Roman"/>
          <w:sz w:val="18"/>
        </w:rPr>
        <w:t>34. Hagberg AA, Schult DA, Swart PJ. Exploring Network Structure, Dynamics, and Function using NetworkX. Proceedings of the Python in Science Conference. 2008:11-15. doi:10.25080/tcwv9851</w:t>
      </w:r>
    </w:p>
    <w:p>
      <w:pPr>
        <w:spacing w:after="60"/>
        <w:ind w:left="312" w:hanging="312"/>
      </w:pPr>
      <w:r>
        <w:rPr>
          <w:rFonts w:ascii="Times New Roman" w:hAnsi="Times New Roman" w:eastAsia="Times New Roman"/>
          <w:sz w:val="18"/>
        </w:rPr>
        <w:t>35. Võsa U, Claringbould A, Westra HJ, et al. Large-scale cis- and trans-eQTL analyses identify thousands of genetic loci and polygenic scores that regulate blood gene expression. Nat Genet. 2021;53(9):1300-1310. doi:10.1038/s41588-021-00913-z</w:t>
      </w:r>
    </w:p>
    <w:p>
      <w:pPr>
        <w:spacing w:after="60"/>
        <w:ind w:left="312" w:hanging="312"/>
      </w:pPr>
      <w:r>
        <w:rPr>
          <w:rFonts w:ascii="Times New Roman" w:hAnsi="Times New Roman" w:eastAsia="Times New Roman"/>
          <w:sz w:val="18"/>
        </w:rPr>
        <w:t>36. Zhu Z, Zhang F, Hu H, et al. Integration of summary data from GWAS and eQTL studies predicts complex trait gene targets. Nat Genet. 2016;48(5):481-487. doi:10.1038/ng.3538</w:t>
      </w:r>
    </w:p>
    <w:p>
      <w:pPr>
        <w:spacing w:after="60"/>
        <w:ind w:left="312" w:hanging="312"/>
      </w:pPr>
      <w:r>
        <w:rPr>
          <w:rFonts w:ascii="Times New Roman" w:hAnsi="Times New Roman" w:eastAsia="Times New Roman"/>
          <w:sz w:val="18"/>
        </w:rPr>
        <w:t>37. McKinney W. Data Structures for Statistical Computing in Python. Proceedings of the Python in Science Conference. 2010:56-61. doi:10.25080/majora-92bf1922-00a</w:t>
      </w:r>
    </w:p>
    <w:p>
      <w:pPr>
        <w:spacing w:after="60"/>
        <w:ind w:left="312" w:hanging="312"/>
      </w:pPr>
      <w:r>
        <w:rPr>
          <w:rFonts w:ascii="Times New Roman" w:hAnsi="Times New Roman" w:eastAsia="Times New Roman"/>
          <w:sz w:val="18"/>
        </w:rPr>
        <w:t>38. Harris CR, Millman KJ, van der Walt SJ, et al. Array programming with NumPy. Nature. 2020;585(7825):357-362. doi:10.1038/s41586-020-2649-2</w:t>
      </w:r>
    </w:p>
    <w:p>
      <w:pPr>
        <w:spacing w:after="60"/>
        <w:ind w:left="312" w:hanging="312"/>
      </w:pPr>
      <w:r>
        <w:rPr>
          <w:rFonts w:ascii="Times New Roman" w:hAnsi="Times New Roman" w:eastAsia="Times New Roman"/>
          <w:sz w:val="18"/>
        </w:rPr>
        <w:t>39. Virtanen P, Gommers R, Oliphant TE, et al. SciPy 1.0: fundamental algorithms for scientific computing in Python. Nat Methods. 2020;17(3):261-272. doi:10.1038/s41592-019-0686-2</w:t>
      </w:r>
    </w:p>
    <w:p>
      <w:pPr>
        <w:spacing w:after="60"/>
        <w:ind w:left="312" w:hanging="312"/>
      </w:pPr>
      <w:r>
        <w:rPr>
          <w:rFonts w:ascii="Times New Roman" w:hAnsi="Times New Roman" w:eastAsia="Times New Roman"/>
          <w:sz w:val="18"/>
        </w:rPr>
        <w:t>40. Hunter JD. Matplotlib: A 2D Graphics Environment. Comput. Sci. Eng. 2007;9(3):90-95. doi:10.1109/mcse.2007.55</w:t>
      </w:r>
    </w:p>
    <w:p>
      <w:pPr>
        <w:spacing w:after="60"/>
        <w:ind w:left="312" w:hanging="312"/>
      </w:pPr>
      <w:r>
        <w:rPr>
          <w:rFonts w:ascii="Times New Roman" w:hAnsi="Times New Roman" w:eastAsia="Times New Roman"/>
          <w:sz w:val="18"/>
        </w:rPr>
        <w:t>41. Waskom M. seaborn: statistical data visualization. JOSS. 2021;6(60):3021. doi:10.21105/joss.03021</w:t>
      </w:r>
    </w:p>
    <w:p>
      <w:pPr>
        <w:spacing w:after="60"/>
        <w:ind w:left="312" w:hanging="312"/>
      </w:pPr>
      <w:r>
        <w:rPr>
          <w:rFonts w:ascii="Times New Roman" w:hAnsi="Times New Roman" w:eastAsia="Times New Roman"/>
          <w:sz w:val="18"/>
        </w:rPr>
        <w:t>42. Pedregosa F, Varoquaux G, Gramfort A, et al. Scikit-learn: Machine learning in python. J Mach Learn Res. 2011;12:2825-2830.</w:t>
      </w:r>
    </w:p>
    <w:p>
      <w:pPr>
        <w:spacing w:after="60"/>
        <w:ind w:left="312" w:hanging="312"/>
      </w:pPr>
      <w:r>
        <w:rPr>
          <w:rFonts w:ascii="Times New Roman" w:hAnsi="Times New Roman" w:eastAsia="Times New Roman"/>
          <w:sz w:val="18"/>
        </w:rPr>
        <w:t>43. Tang Z, Kang B, Li C, Chen T, Zhang Z. GEPIA2: an enhanced web server for large-scale expression profiling and interactive analysis. Nucleic Acids Res. 2019;47(W1):W556-W560. doi:10.1093/nar/gkz430</w:t>
      </w:r>
    </w:p>
    <w:p>
      <w:pPr>
        <w:spacing w:after="60"/>
        <w:ind w:left="312" w:hanging="312"/>
      </w:pPr>
      <w:r>
        <w:rPr>
          <w:rFonts w:ascii="Times New Roman" w:hAnsi="Times New Roman" w:eastAsia="Times New Roman"/>
          <w:sz w:val="18"/>
        </w:rPr>
        <w:t>44. Hemani G, Zheng J, Elsworth B, et al. The MR-Base platform supports systematic causal inference across the human phenome. eLife. 2018;7:34408. doi:10.7554/elife.34408</w:t>
      </w:r>
    </w:p>
    <w:p>
      <w:pPr>
        <w:spacing w:after="60"/>
        <w:ind w:left="312" w:hanging="312"/>
      </w:pPr>
      <w:r>
        <w:rPr>
          <w:rFonts w:ascii="Times New Roman" w:hAnsi="Times New Roman" w:eastAsia="Times New Roman"/>
          <w:sz w:val="18"/>
        </w:rPr>
        <w:t>45. Pan L, Luo J, Nie C, et al. A Deep Learning Framework Integrating Tumor Microenvironmental Features Accurately Predicts Multiple Driver Gene Mutations in Lung Cancer Pathology Images. Cancer Res. 2026;86(5):1319-1337. doi:10.1158/0008-5472.can-25-0582</w:t>
      </w:r>
    </w:p>
    <w:p>
      <w:pPr>
        <w:spacing w:after="60"/>
        <w:ind w:left="312" w:hanging="312"/>
      </w:pPr>
      <w:r>
        <w:rPr>
          <w:rFonts w:ascii="Times New Roman" w:hAnsi="Times New Roman" w:eastAsia="Times New Roman"/>
          <w:sz w:val="18"/>
        </w:rPr>
        <w:t>46. Xu H, Wang S, Fang M, et al. SPACEL: deep learning-based characterization of spatial transcriptome architectures. Nat Commun. 2023;14(1):7603. doi:10.1038/s41467-023-43220-3</w:t>
      </w:r>
    </w:p>
    <w:p>
      <w:pPr>
        <w:spacing w:after="60"/>
        <w:ind w:left="312" w:hanging="312"/>
      </w:pPr>
      <w:r>
        <w:rPr>
          <w:rFonts w:ascii="Times New Roman" w:hAnsi="Times New Roman" w:eastAsia="Times New Roman"/>
          <w:sz w:val="18"/>
        </w:rPr>
        <w:t>47. Ravi VM, Will P, Kueckelhaus J, et al. Spatially resolved multi-omics deciphers bidirectional tumor-host interdependence in glioblastoma. Cancer Cell. 2022;40(6):639-655.e13. doi:10.1016/j.ccell.2022.05.009</w:t>
      </w:r>
    </w:p>
    <w:p>
      <w:pPr>
        <w:spacing w:after="60"/>
        <w:ind w:left="312" w:hanging="312"/>
      </w:pPr>
      <w:r>
        <w:rPr>
          <w:rFonts w:ascii="Times New Roman" w:hAnsi="Times New Roman" w:eastAsia="Times New Roman"/>
          <w:sz w:val="18"/>
        </w:rPr>
        <w:t>48. Li Q, Zhang X, Ke R. Spatial Transcriptomics for Tumor Heterogeneity Analysis. Front Genet. 2022;13. doi:10.3389/fgene.2022.906158</w:t>
      </w:r>
    </w:p>
    <w:p>
      <w:pPr>
        <w:spacing w:after="60"/>
        <w:ind w:left="312" w:hanging="312"/>
      </w:pPr>
      <w:r>
        <w:rPr>
          <w:rFonts w:ascii="Times New Roman" w:hAnsi="Times New Roman" w:eastAsia="Times New Roman"/>
          <w:sz w:val="18"/>
        </w:rPr>
        <w:t>49. Petitprez F, de Reyniès A, Keung EZ, et al. B cells are associated with survival and immunotherapy response in sarcoma. Nature. 2020;577(7791):556-560. doi:10.1038/s41586-019-1906-8</w:t>
      </w:r>
    </w:p>
    <w:p>
      <w:pPr>
        <w:spacing w:after="60"/>
        <w:ind w:left="312" w:hanging="312"/>
      </w:pPr>
      <w:r>
        <w:rPr>
          <w:rFonts w:ascii="Times New Roman" w:hAnsi="Times New Roman" w:eastAsia="Times New Roman"/>
          <w:sz w:val="18"/>
        </w:rPr>
        <w:t>50. Helmink BA, Reddy SM, Gao J, et al. B cells and tertiary lymphoid structures promote immunotherapy response. Nature. 2020;577(7791):549-555. doi:10.1038/s41586-019-1922-8</w:t>
      </w:r>
    </w:p>
    <w:p>
      <w:pPr>
        <w:spacing w:after="60"/>
        <w:ind w:left="312" w:hanging="312"/>
      </w:pPr>
      <w:r>
        <w:rPr>
          <w:rFonts w:ascii="Times New Roman" w:hAnsi="Times New Roman" w:eastAsia="Times New Roman"/>
          <w:sz w:val="18"/>
        </w:rPr>
        <w:t>51. Rakaee M, Tafavvoghi M, Ricciuti B, et al. Deep Learning Model for Predicting Immunotherapy Response in Advanced Non−Small Cell Lung Cancer. JAMA Oncol. 2025;11(2):109. doi:10.1001/jamaoncol.2024.5356</w:t>
      </w:r>
    </w:p>
    <w:p>
      <w:pPr>
        <w:spacing w:after="60"/>
        <w:ind w:left="312" w:hanging="312"/>
      </w:pPr>
      <w:r>
        <w:rPr>
          <w:rFonts w:ascii="Times New Roman" w:hAnsi="Times New Roman" w:eastAsia="Times New Roman"/>
          <w:sz w:val="18"/>
        </w:rPr>
        <w:t>52. Barrett T, Wilhite SE, Ledoux P, et al. NCBI GEO: archive for functional genomics data sets—update. Nucleic Acids Res. 2012;41(D1):D991-D995. doi:10.1093/nar/gks1193</w:t>
      </w:r>
    </w:p>
    <w:p>
      <w:pPr>
        <w:spacing w:after="60"/>
        <w:ind w:left="312" w:hanging="312"/>
      </w:pPr>
      <w:r>
        <w:rPr>
          <w:rFonts w:ascii="Times New Roman" w:hAnsi="Times New Roman" w:eastAsia="Times New Roman"/>
          <w:sz w:val="18"/>
        </w:rPr>
        <w:t>53. Uhlen M, Zhang C, Lee S, et al. A pathology atlas of the human cancer transcriptome. Science. 2017;357(6352):2507. doi:10.1126/science.aan2507</w:t>
      </w:r>
    </w:p>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74" Type="http://schemas.openxmlformats.org/officeDocument/2006/relationships/image" Target="media/rId74.png"/><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