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240" w:lineRule="auto" w:after="0" w:before="0"/>
        <w:jc w:val="left"/>
      </w:pPr>
      <w:r>
        <w:rPr>
          <w:rFonts w:ascii="Times New Roman" w:hAnsi="Times New Roman" w:eastAsia="Times New Roman"/>
          <w:sz w:val="24"/>
        </w:rPr>
        <w:t>Data Availability Statement</w:t>
      </w:r>
    </w:p>
    <w:p>
      <w:pPr>
        <w:spacing w:line="240" w:lineRule="auto" w:after="0" w:before="0"/>
        <w:jc w:val="left"/>
      </w:pPr>
      <w:r>
        <w:rPr>
          <w:rFonts w:ascii="Times New Roman" w:hAnsi="Times New Roman" w:eastAsia="Times New Roman"/>
          <w:sz w:val="24"/>
        </w:rPr>
        <w:t>All datasets analyzed in this study are publicly available. TCGA-LUAD and TCGA-LUSC transcriptomic and clinical data were obtained from the Genomic Data Commons portal. GEO datasets were obtained from the Gene Expression Omnibus under accession numbers GSE31210, GSE30219, GSE37745, GSE42127, GSE50081, GSE68465, GSE72094, GSE126044, GSE135222 and GSE91061. Public protein-level resources were obtained from CPTAC/PDC-derived resources as described in the manuscript and Supporting Information.</w:t>
      </w:r>
    </w:p>
    <w:p>
      <w:pPr>
        <w:spacing w:line="240" w:lineRule="auto" w:after="0" w:before="0"/>
        <w:jc w:val="left"/>
      </w:pPr>
      <w:r>
        <w:rPr>
          <w:rFonts w:ascii="Times New Roman" w:hAnsi="Times New Roman" w:eastAsia="Times New Roman"/>
          <w:sz w:val="24"/>
        </w:rPr>
        <w:t>Processed analysis tables, figure-source-data summaries, cohort-level derived results and analysis scripts necessary to reproduce the reported findings are included in the submission source-data package and are available at https://github.com/morningLxj/spatial-immunotherapy-prediction.</w:t>
      </w:r>
    </w:p>
    <w:p>
      <w:pPr>
        <w:spacing w:line="240" w:lineRule="auto" w:after="0" w:before="0"/>
        <w:jc w:val="left"/>
      </w:pPr>
      <w:r>
        <w:rPr>
          <w:rFonts w:ascii="Times New Roman" w:hAnsi="Times New Roman" w:eastAsia="Times New Roman"/>
          <w:sz w:val="24"/>
        </w:rPr>
        <w:t>No new human participant data were generated. No study data are restricted to request-only access.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