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EEB0" w14:textId="77777777" w:rsidR="006E61DB" w:rsidRPr="00A3603D" w:rsidRDefault="00000000" w:rsidP="00163AB5">
      <w:pPr>
        <w:spacing w:line="480" w:lineRule="auto"/>
        <w:jc w:val="left"/>
        <w:rPr>
          <w:b/>
          <w:bCs/>
        </w:rPr>
      </w:pPr>
      <w:r w:rsidRPr="00A3603D">
        <w:rPr>
          <w:b/>
          <w:bCs/>
        </w:rPr>
        <w:t>Convergent public-data evidence for C1Q-associated macrophage programs in non-small cell lung cancer: spatial organization and survival traceability</w:t>
      </w:r>
    </w:p>
    <w:p w14:paraId="4BECAB35" w14:textId="77777777" w:rsidR="006E61DB" w:rsidRDefault="006E61DB">
      <w:pPr>
        <w:spacing w:line="480" w:lineRule="auto"/>
        <w:jc w:val="left"/>
      </w:pPr>
    </w:p>
    <w:p w14:paraId="5170DEDA" w14:textId="77777777" w:rsidR="006E61DB" w:rsidRDefault="00000000">
      <w:pPr>
        <w:spacing w:line="480" w:lineRule="auto"/>
        <w:jc w:val="left"/>
      </w:pPr>
      <w:proofErr w:type="spellStart"/>
      <w:r>
        <w:rPr>
          <w:b/>
          <w:bCs/>
        </w:rPr>
        <w:t>Xiongjie</w:t>
      </w:r>
      <w:proofErr w:type="spellEnd"/>
      <w:r>
        <w:rPr>
          <w:b/>
          <w:bCs/>
        </w:rPr>
        <w:t xml:space="preserve"> Li</w:t>
      </w:r>
      <w:r>
        <w:rPr>
          <w:vertAlign w:val="superscript"/>
        </w:rPr>
        <w:t>1*</w:t>
      </w:r>
      <w:r>
        <w:t xml:space="preserve">, </w:t>
      </w:r>
      <w:proofErr w:type="spellStart"/>
      <w:r>
        <w:t>Fengyue</w:t>
      </w:r>
      <w:proofErr w:type="spellEnd"/>
      <w:r>
        <w:t xml:space="preserve"> Zhang</w:t>
      </w:r>
      <w:r>
        <w:rPr>
          <w:vertAlign w:val="superscript"/>
        </w:rPr>
        <w:t>2</w:t>
      </w:r>
      <w:r>
        <w:t xml:space="preserve">, </w:t>
      </w:r>
      <w:proofErr w:type="spellStart"/>
      <w:r>
        <w:t>Chaojia</w:t>
      </w:r>
      <w:proofErr w:type="spellEnd"/>
      <w:r>
        <w:t xml:space="preserve"> Luo</w:t>
      </w:r>
      <w:r>
        <w:rPr>
          <w:vertAlign w:val="superscript"/>
        </w:rPr>
        <w:t>1</w:t>
      </w:r>
      <w:r>
        <w:t>, Xuan Xu</w:t>
      </w:r>
      <w:r>
        <w:rPr>
          <w:vertAlign w:val="superscript"/>
        </w:rPr>
        <w:t>1</w:t>
      </w:r>
    </w:p>
    <w:p w14:paraId="72223FC9" w14:textId="77777777" w:rsidR="006E61DB" w:rsidRDefault="006E61DB">
      <w:pPr>
        <w:spacing w:line="480" w:lineRule="auto"/>
        <w:jc w:val="left"/>
      </w:pPr>
    </w:p>
    <w:p w14:paraId="26F6061F" w14:textId="77777777" w:rsidR="006E61DB" w:rsidRDefault="00000000">
      <w:pPr>
        <w:spacing w:line="480" w:lineRule="auto"/>
        <w:ind w:left="720"/>
        <w:jc w:val="left"/>
      </w:pPr>
      <w:r>
        <w:rPr>
          <w:vertAlign w:val="superscript"/>
        </w:rPr>
        <w:t>1</w:t>
      </w:r>
      <w:r>
        <w:t>Department of Cardiothoracic, Thyroid and Breast Surgery, Qianjiang Jianghan Oilfield General Hospital, Qianjiang 433100, Hubei, China</w:t>
      </w:r>
    </w:p>
    <w:p w14:paraId="47558FBB" w14:textId="77777777" w:rsidR="006E61DB" w:rsidRDefault="00000000">
      <w:pPr>
        <w:spacing w:line="480" w:lineRule="auto"/>
        <w:ind w:left="720"/>
        <w:jc w:val="left"/>
      </w:pPr>
      <w:r>
        <w:rPr>
          <w:vertAlign w:val="superscript"/>
        </w:rPr>
        <w:t>2</w:t>
      </w:r>
      <w:r>
        <w:t>Department of Gastroenterology, Qianjiang Jianghan Oilfield General Hospital, Qianjiang 433100, Hubei, China</w:t>
      </w:r>
    </w:p>
    <w:p w14:paraId="3877C2D0" w14:textId="77777777" w:rsidR="006E61DB" w:rsidRDefault="006E61DB">
      <w:pPr>
        <w:spacing w:line="480" w:lineRule="auto"/>
        <w:jc w:val="left"/>
      </w:pPr>
    </w:p>
    <w:p w14:paraId="65798325" w14:textId="77777777" w:rsidR="006E61DB" w:rsidRDefault="00000000">
      <w:pPr>
        <w:spacing w:line="480" w:lineRule="auto"/>
        <w:jc w:val="left"/>
      </w:pPr>
      <w:r>
        <w:rPr>
          <w:b/>
          <w:bCs/>
        </w:rPr>
        <w:t xml:space="preserve">Correspondence to: </w:t>
      </w:r>
      <w:r>
        <w:t xml:space="preserve">Dr. </w:t>
      </w:r>
      <w:proofErr w:type="spellStart"/>
      <w:r>
        <w:t>Xiongjie</w:t>
      </w:r>
      <w:proofErr w:type="spellEnd"/>
      <w:r>
        <w:t xml:space="preserve"> Li, Department of Cardiothoracic, Thyroid and Breast Surgery, Qianjiang Jianghan Oilfield General Hospital, No. T32, Guanghua </w:t>
      </w:r>
      <w:proofErr w:type="spellStart"/>
      <w:r>
        <w:t>Ankang</w:t>
      </w:r>
      <w:proofErr w:type="spellEnd"/>
      <w:r>
        <w:t xml:space="preserve"> Road, Qianjiang 433100, Hubei, China</w:t>
      </w:r>
    </w:p>
    <w:p w14:paraId="01A91DA1" w14:textId="77777777" w:rsidR="006E61DB" w:rsidRDefault="00000000">
      <w:pPr>
        <w:spacing w:line="480" w:lineRule="auto"/>
        <w:jc w:val="left"/>
      </w:pPr>
      <w:r>
        <w:rPr>
          <w:b/>
          <w:bCs/>
        </w:rPr>
        <w:t xml:space="preserve">E-mail: </w:t>
      </w:r>
      <w:r>
        <w:t>surobert518@163.com</w:t>
      </w:r>
    </w:p>
    <w:p w14:paraId="4FE24E47" w14:textId="77777777" w:rsidR="006E61DB" w:rsidRDefault="00000000">
      <w:pPr>
        <w:spacing w:line="480" w:lineRule="auto"/>
        <w:jc w:val="left"/>
      </w:pPr>
      <w:r>
        <w:rPr>
          <w:b/>
          <w:bCs/>
        </w:rPr>
        <w:t xml:space="preserve">ORCID: </w:t>
      </w:r>
      <w:r>
        <w:t>0009-0005-9507-6829</w:t>
      </w:r>
    </w:p>
    <w:p w14:paraId="37E1DAC1" w14:textId="77777777" w:rsidR="006E61DB" w:rsidRDefault="006E61DB">
      <w:pPr>
        <w:spacing w:line="480" w:lineRule="auto"/>
        <w:jc w:val="left"/>
      </w:pPr>
    </w:p>
    <w:p w14:paraId="6E91DEB3" w14:textId="77777777" w:rsidR="006E61DB" w:rsidRDefault="00000000">
      <w:pPr>
        <w:spacing w:line="480" w:lineRule="auto"/>
        <w:jc w:val="left"/>
      </w:pPr>
      <w:r>
        <w:rPr>
          <w:b/>
          <w:bCs/>
        </w:rPr>
        <w:t>Running title: C1Q macrophage programs in NSCLC</w:t>
      </w:r>
    </w:p>
    <w:p w14:paraId="6D1968E5" w14:textId="77777777" w:rsidR="006E61DB" w:rsidRDefault="006E61DB">
      <w:pPr>
        <w:spacing w:line="480" w:lineRule="auto"/>
        <w:jc w:val="left"/>
      </w:pPr>
    </w:p>
    <w:p w14:paraId="02D9FA61" w14:textId="77777777" w:rsidR="006E61DB" w:rsidRDefault="00000000">
      <w:pPr>
        <w:spacing w:line="480" w:lineRule="auto"/>
        <w:jc w:val="left"/>
      </w:pPr>
      <w:r>
        <w:rPr>
          <w:b/>
          <w:bCs/>
        </w:rPr>
        <w:t>Abbreviations</w:t>
      </w:r>
    </w:p>
    <w:p w14:paraId="7F66FEFA" w14:textId="77777777" w:rsidR="00D34FD0" w:rsidRDefault="00000000">
      <w:pPr>
        <w:spacing w:line="480" w:lineRule="auto"/>
        <w:jc w:val="left"/>
      </w:pPr>
      <w:r>
        <w:t>CI, confidence interval; CPTAC, Clinical Proteomic Tumor Analysis Consortium; GEO, Gene Expression Omnibus; HR, hazard ratio; LUAD, lung adenocarcinoma; LUSC, lung squamous cell carcinoma; NSCLC, non-small cell lung cancer; TCGA, The Cancer Genome Atlas.</w:t>
      </w:r>
    </w:p>
    <w:p w14:paraId="2D50AF51" w14:textId="77777777" w:rsidR="006E61DB" w:rsidRDefault="006E61DB">
      <w:pPr>
        <w:spacing w:line="480" w:lineRule="auto"/>
        <w:jc w:val="left"/>
      </w:pPr>
      <w:r>
        <w:br w:type="page"/>
      </w:r>
    </w:p>
    <w:p w14:paraId="0B626F99" w14:textId="77777777" w:rsidR="00D34FD0" w:rsidRDefault="00D34FD0">
      <w:pPr>
        <w:spacing w:line="480" w:lineRule="auto"/>
        <w:jc w:val="left"/>
      </w:pPr>
    </w:p>
    <w:p w14:paraId="5A600AC2" w14:textId="77777777" w:rsidR="00684F8F" w:rsidRDefault="00000000">
      <w:pPr>
        <w:spacing w:line="480" w:lineRule="auto"/>
        <w:jc w:val="left"/>
      </w:pPr>
      <w:r>
        <w:rPr>
          <w:b/>
        </w:rPr>
        <w:t>Abstract</w:t>
      </w:r>
    </w:p>
    <w:p w14:paraId="3189ADF0" w14:textId="77777777" w:rsidR="00D34FD0" w:rsidRDefault="00000000">
      <w:pPr>
        <w:spacing w:line="480" w:lineRule="auto"/>
        <w:jc w:val="left"/>
      </w:pPr>
      <w:r>
        <w:t>Background: C1Q-family genes are frequently expressed in macrophage-lineage states, but their spatial organization and survival traceability in non-small cell lung cancer (NSCLC) remain incompletely characterized. This study evaluated whether C1Q-associated macrophage signals show convergent evidence across public transcriptomic, spatial, proteomic and comparator-gene resources.</w:t>
      </w:r>
    </w:p>
    <w:p w14:paraId="09E29487" w14:textId="77777777" w:rsidR="00D34FD0" w:rsidRDefault="00000000">
      <w:pPr>
        <w:spacing w:line="480" w:lineRule="auto"/>
        <w:jc w:val="left"/>
      </w:pPr>
      <w:r>
        <w:t>Methods: TCGA-LUAD and TCGA-LUSC data were used for discovery, histology-stratified analyses and score characterization. Seven GEO cohorts were used to assess external survival traceability. A transparent C1Q-only score was treated as the primary interpretable score, whereas the fuller traceability score was evaluated as a secondary model-behavior summary. Spatial transcriptomic resources, public proteomic resources, comparator markers and computational attenuation were used to assess biological context and internal consistency.</w:t>
      </w:r>
    </w:p>
    <w:p w14:paraId="5468A555" w14:textId="77777777" w:rsidR="00D34FD0" w:rsidRDefault="00000000">
      <w:pPr>
        <w:spacing w:line="480" w:lineRule="auto"/>
        <w:jc w:val="left"/>
      </w:pPr>
      <w:r>
        <w:t>Results: C1QA, C1QB and C1QC showed macrophage-associated spatial organization within the analyzed public spatial transcriptomic resources, with Moran's I values of 0.386, 0.381 and 0.377, respectively. The C1Q score correlated positively with macrophage-marker score, immune score, CD68 and CD163, but negatively with SPP1. SPP1 showed stronger spatial autocorrelation but a distinct immune-context pattern. The C1Q-only score showed weak and heterogeneous external survival traceability across seven GEO cohorts (random-effects HR = 1.06, 95% CI 0.95-1.18; I² = 55.9%). The fuller traceability score showed moderate TCGA model behavior (AUC = 0.781; C-index = 0.591).</w:t>
      </w:r>
    </w:p>
    <w:p w14:paraId="4D9B80C0" w14:textId="77777777" w:rsidR="00D34FD0" w:rsidRDefault="00000000">
      <w:pPr>
        <w:spacing w:line="480" w:lineRule="auto"/>
        <w:jc w:val="left"/>
      </w:pPr>
      <w:r>
        <w:t>Conclusions: C1Q-associated macrophage signals may represent a spatially organized immune-context program in NSCLC that is traceable across public data resources. Because this study used retrospective public datasets without in-house experimental confirmation, the findings are hypothesis-generating. The score should be viewed as a biological traceability measure, not an individual-level clinical prediction tool.</w:t>
      </w:r>
    </w:p>
    <w:p w14:paraId="61A71B8B" w14:textId="77777777" w:rsidR="00D34FD0" w:rsidRDefault="00D34FD0">
      <w:pPr>
        <w:spacing w:line="480" w:lineRule="auto"/>
        <w:jc w:val="left"/>
      </w:pPr>
    </w:p>
    <w:p w14:paraId="62D87C82" w14:textId="77777777" w:rsidR="00D34FD0" w:rsidRDefault="00D34FD0">
      <w:pPr>
        <w:spacing w:line="480" w:lineRule="auto"/>
        <w:jc w:val="left"/>
      </w:pPr>
    </w:p>
    <w:p w14:paraId="262D7F57" w14:textId="77777777" w:rsidR="00D34FD0" w:rsidRDefault="00D34FD0">
      <w:pPr>
        <w:spacing w:line="480" w:lineRule="auto"/>
        <w:jc w:val="left"/>
      </w:pPr>
    </w:p>
    <w:p w14:paraId="3A7AE69A" w14:textId="77777777" w:rsidR="00D34FD0" w:rsidRDefault="00D34FD0">
      <w:pPr>
        <w:spacing w:line="480" w:lineRule="auto"/>
        <w:jc w:val="left"/>
      </w:pPr>
    </w:p>
    <w:p w14:paraId="17ED6C0D" w14:textId="77777777" w:rsidR="00D34FD0" w:rsidRDefault="00D34FD0">
      <w:pPr>
        <w:spacing w:line="480" w:lineRule="auto"/>
        <w:jc w:val="left"/>
      </w:pPr>
    </w:p>
    <w:p w14:paraId="0A56FADA" w14:textId="77777777" w:rsidR="00D34FD0" w:rsidRDefault="00D34FD0">
      <w:pPr>
        <w:spacing w:line="480" w:lineRule="auto"/>
        <w:jc w:val="left"/>
      </w:pPr>
    </w:p>
    <w:p w14:paraId="45E245A7" w14:textId="77777777" w:rsidR="00D34FD0" w:rsidRDefault="00D34FD0">
      <w:pPr>
        <w:spacing w:line="480" w:lineRule="auto"/>
        <w:jc w:val="left"/>
      </w:pPr>
    </w:p>
    <w:p w14:paraId="1496E3F3" w14:textId="77777777" w:rsidR="00D34FD0" w:rsidRDefault="00D34FD0">
      <w:pPr>
        <w:spacing w:line="480" w:lineRule="auto"/>
        <w:jc w:val="left"/>
      </w:pPr>
    </w:p>
    <w:p w14:paraId="7BB3914E" w14:textId="77777777" w:rsidR="00684F8F" w:rsidRDefault="00684F8F">
      <w:pPr>
        <w:spacing w:line="480" w:lineRule="auto"/>
        <w:jc w:val="left"/>
      </w:pPr>
    </w:p>
    <w:p w14:paraId="32DA47BC" w14:textId="77777777" w:rsidR="00684F8F" w:rsidRDefault="00000000">
      <w:pPr>
        <w:spacing w:line="480" w:lineRule="auto"/>
        <w:jc w:val="left"/>
      </w:pPr>
      <w:r>
        <w:t>Key words: non-small cell lung cancer; C1Q; macrophage; public data; spatial transcriptomics; survival traceability</w:t>
      </w:r>
    </w:p>
    <w:p w14:paraId="7AFECE6F" w14:textId="77777777" w:rsidR="00684F8F" w:rsidRDefault="00000000">
      <w:pPr>
        <w:spacing w:line="480" w:lineRule="auto"/>
        <w:jc w:val="left"/>
      </w:pPr>
      <w:r>
        <w:rPr>
          <w:b/>
        </w:rPr>
        <w:t>Introduction</w:t>
      </w:r>
    </w:p>
    <w:p w14:paraId="1C42820C" w14:textId="77777777" w:rsidR="00684F8F" w:rsidRDefault="00000000">
      <w:pPr>
        <w:spacing w:line="480" w:lineRule="auto"/>
        <w:jc w:val="left"/>
      </w:pPr>
      <w:r>
        <w:t>Non-small cell lung cancer (NSCLC) remains a leading cause of cancer-related death worldwide [1]. Its molecular and immune heterogeneity has been extensively documented in large-scale genomic studies [2]. Immune checkpoint blockade has changed the therapeutic landscape of advanced NSCLC, particularly through PD-1/PD-L1-based strategies [3-5].</w:t>
      </w:r>
    </w:p>
    <w:p w14:paraId="3E83B471" w14:textId="77777777" w:rsidR="00684F8F" w:rsidRDefault="00000000">
      <w:pPr>
        <w:spacing w:line="480" w:lineRule="auto"/>
        <w:jc w:val="left"/>
      </w:pPr>
      <w:r>
        <w:t>Despite these advances, clinical biomarkers such as PD-L1 expression, tumor mutational burden, and selected immune signatures remain imperfect. Mechanism-driven biomarkers can improve patient selection, but they do not fully explain why some tumors become immunologically active whereas others remain spatially compartmentalized or immune excluded [6,7]. A central limitation of bulk molecular profiling is that it measures what is present, but not where the relevant immune programs are organized.</w:t>
      </w:r>
    </w:p>
    <w:p w14:paraId="5DAE21B9" w14:textId="77777777" w:rsidR="00684F8F" w:rsidRDefault="00000000">
      <w:pPr>
        <w:spacing w:line="480" w:lineRule="auto"/>
        <w:jc w:val="left"/>
      </w:pPr>
      <w:r>
        <w:t>Spatial transcriptomics has made it possible to study tumors as structured tissues rather than as dissociated molecular mixtures [8]. Recent spatial transcriptomic studies have shown that tumor immunity is shaped by local cellular neighborhoods, including macrophage-rich niches and immune-</w:t>
      </w:r>
      <w:r>
        <w:lastRenderedPageBreak/>
        <w:t>exclusion programs [9-11]. Single-cell studies further highlight conserved myeloid and immune-exclusion programs across tumor contexts [12,13]. This is particularly relevant for immune-organizing compartments in the tumor microenvironment [14]. Complement-related programs may further influence cancer progression and immunotherapy-associated biology [15-17]. Spatially resolved multi-omic studies also support the need to interpret tumor-immune programs within tissue context rather than from bulk abundance alone [18].</w:t>
      </w:r>
    </w:p>
    <w:p w14:paraId="7C50ABC4" w14:textId="77777777" w:rsidR="00684F8F" w:rsidRDefault="00000000">
      <w:pPr>
        <w:spacing w:line="480" w:lineRule="auto"/>
        <w:jc w:val="left"/>
      </w:pPr>
      <w:r>
        <w:t>Within this compartment, C1QA, C1QB, and C1QC are increasingly recognized as markers of specialized macrophage states. However, the biological and clinical meaning of C1Q-related macrophage signals in NSCLC has not been fully resolved. Expression-based markers can also be difficult to interpret because they may reflect downstream tumor composition rather than upstream biology.</w:t>
      </w:r>
    </w:p>
    <w:p w14:paraId="3DDA7E2E" w14:textId="77777777" w:rsidR="00684F8F" w:rsidRDefault="00000000">
      <w:pPr>
        <w:spacing w:line="480" w:lineRule="auto"/>
        <w:jc w:val="left"/>
      </w:pPr>
      <w:r>
        <w:t>We therefore asked whether C1Q-associated macrophage signals in NSCLC show convergent evidence across spatial immune organization, protein-level context, comparator-gene specificity and survival traceability. Biomarker- and model-behavior analyses were reported with reference to REMARK principles and relevant TRIPOD items where applicable, while the score was not presented as a deployable clinical prediction model.</w:t>
      </w:r>
    </w:p>
    <w:p w14:paraId="02278DD8" w14:textId="77777777" w:rsidR="00D34FD0" w:rsidRDefault="00000000">
      <w:pPr>
        <w:spacing w:line="480" w:lineRule="auto"/>
        <w:jc w:val="left"/>
      </w:pPr>
      <w:r>
        <w:t>All raw datasets were obtained from public repositories. A data-source table, minimal-dataset manifest, figure-source-data notes and code-availability statement are provided with the submission package. Repository accession numbers are listed in the data-source manifest, and the public code/data repository is available at https://github.com/morningLxj/spatial-immunotherapy-prediction.</w:t>
      </w:r>
    </w:p>
    <w:p w14:paraId="427956DC" w14:textId="77777777" w:rsidR="00D34FD0" w:rsidRPr="007E030A" w:rsidRDefault="00000000">
      <w:pPr>
        <w:spacing w:line="480" w:lineRule="auto"/>
        <w:jc w:val="left"/>
        <w:rPr>
          <w:b/>
          <w:bCs/>
        </w:rPr>
      </w:pPr>
      <w:r w:rsidRPr="007E030A">
        <w:rPr>
          <w:b/>
          <w:bCs/>
        </w:rPr>
        <w:t>Materials and methods</w:t>
      </w:r>
    </w:p>
    <w:p w14:paraId="44060307" w14:textId="77777777" w:rsidR="00D34FD0" w:rsidRDefault="00000000">
      <w:pPr>
        <w:pStyle w:val="2"/>
        <w:spacing w:line="480" w:lineRule="auto"/>
        <w:jc w:val="left"/>
      </w:pPr>
      <w:r>
        <w:t>Study design and reporting framework</w:t>
      </w:r>
    </w:p>
    <w:p w14:paraId="35AEEA80" w14:textId="77777777" w:rsidR="00D34FD0" w:rsidRDefault="00000000">
      <w:pPr>
        <w:spacing w:line="480" w:lineRule="auto"/>
        <w:jc w:val="left"/>
      </w:pPr>
      <w:r>
        <w:t xml:space="preserve">This was a retrospective public-data integrative analysis. The study was reported with reference to REMARK principles and relevant TRIPOD items where applicable for model-behavior reporting. </w:t>
      </w:r>
      <w:r>
        <w:lastRenderedPageBreak/>
        <w:t>Model preprocessing and benchmarking used established machine-learning and multi-omic prediction frameworks [19,20]. Regularized feature selection followed established statistical methods [21]. Spatial autocorrelation analyses followed established spatial-transcriptomic and spatial-statistical methods [22,23]. Public spatial and in situ tumor-microenvironment resources informed the spatial-context analysis [24,25]. XGBoost was included as one benchmarked classifier in the model-behavior analysis [26]. GEO datasets were used as public expression resources for cross-cohort assessment [27]. Additional spatial immune-context and pan-cancer immune references informed exploratory interpretation [28-30].</w:t>
      </w:r>
    </w:p>
    <w:p w14:paraId="12670ADE" w14:textId="77777777" w:rsidR="00D34FD0" w:rsidRDefault="00000000">
      <w:pPr>
        <w:pStyle w:val="2"/>
        <w:spacing w:line="480" w:lineRule="auto"/>
        <w:jc w:val="left"/>
      </w:pPr>
      <w:r>
        <w:t>Data sources and eligibility criteria</w:t>
      </w:r>
    </w:p>
    <w:p w14:paraId="16189C60" w14:textId="77777777" w:rsidR="00D34FD0" w:rsidRDefault="00000000">
      <w:pPr>
        <w:spacing w:line="480" w:lineRule="auto"/>
        <w:jc w:val="left"/>
      </w:pPr>
      <w:r>
        <w:t>Discovery and histology-stratified analyses used TCGA-LUAD and TCGA-LUSC transcriptomic and clinical data. External survival traceability was assessed in GSE30219, GSE37745, GSE42127, GSE50081, GSE68465, GSE72094 and GSE31210. GSE126044, GSE135222 and GSE91061 were analyzed only as exploratory immunotherapy-associated cohorts because treatment context, endpoint definitions and sample size differed across studies. Spatial transcriptomic resources and public CPTAC/PDC protein-level resources were used for orthogonal context. Samples were included when harmonized expression data and essential endpoint variables were available; samples with missing survival time, invalid follow-up or non-harmonizable endpoint coding were excluded from the corresponding endpoint analysis.</w:t>
      </w:r>
    </w:p>
    <w:p w14:paraId="4933CB6B" w14:textId="77777777" w:rsidR="00D34FD0" w:rsidRDefault="00000000">
      <w:pPr>
        <w:pStyle w:val="2"/>
        <w:spacing w:line="480" w:lineRule="auto"/>
        <w:jc w:val="left"/>
      </w:pPr>
      <w:r>
        <w:t>Preprocessing and harmonization</w:t>
      </w:r>
    </w:p>
    <w:p w14:paraId="630F98B8" w14:textId="77777777" w:rsidR="00D34FD0" w:rsidRDefault="00000000">
      <w:pPr>
        <w:spacing w:line="480" w:lineRule="auto"/>
        <w:jc w:val="left"/>
      </w:pPr>
      <w:r>
        <w:t xml:space="preserve">RNA-seq and microarray expression matrices were harmonized at the gene-symbol or platform-annotated probe level. Expression values were log2-transformed when required, probes mapping to the same gene were collapsed by the representative probe with the highest average expression or by dataset-provided annotation when available, and gene-level values were standardized within each cohort before cross-platform scoring. No external cohort was used to train the TCGA-derived score. Complete-case analysis was used for endpoint-specific models, and missingness was described at the </w:t>
      </w:r>
      <w:r>
        <w:lastRenderedPageBreak/>
        <w:t>cohort level where available.</w:t>
      </w:r>
    </w:p>
    <w:p w14:paraId="6862A44E" w14:textId="77777777" w:rsidR="00D34FD0" w:rsidRDefault="00000000">
      <w:pPr>
        <w:pStyle w:val="2"/>
        <w:spacing w:line="480" w:lineRule="auto"/>
        <w:jc w:val="left"/>
      </w:pPr>
      <w:r>
        <w:t>C1Q-only score and full traceability score</w:t>
      </w:r>
    </w:p>
    <w:p w14:paraId="2B463FE5" w14:textId="77777777" w:rsidR="00D34FD0" w:rsidRDefault="00000000">
      <w:pPr>
        <w:spacing w:line="480" w:lineRule="auto"/>
        <w:jc w:val="left"/>
      </w:pPr>
      <w:r>
        <w:t>The primary transparent C1Q-only score was calculated as the mean standardized expression of available exact C1Q-family probes. For external GEO forest-plot source analyses, GPL570 and GPL96 datasets used exact C1QA and C1QB probes because an exact C1QC probe was not available in the local platform annotation; GPL6884 and GPL15048 datasets included C1QA, C1QB and C1QC. We use the term survival traceability to denote whether a biologically defined signal remains detectably associated with survival-related variation across independent retrospective cohorts, without implying individual-level clinical prediction. The fuller traceability score was constructed within the TCGA training framework from the prespecified C1Q-associated feature set documented in S2 Table and the repository source files. Candidate features were selected by nested cross-validation and bootstrap stability analyses, and the model was trained only in the TCGA framework. External cohorts were not used to retrain the fuller score. This fuller score was retained only as a secondary model-behavior analysis, whereas the transparent C1Q-only score was treated as the primary interpretable score because it is biologically anchored, simple and less dependent on platform-specific model fitting.</w:t>
      </w:r>
    </w:p>
    <w:p w14:paraId="410DFBD3" w14:textId="77777777" w:rsidR="00D34FD0" w:rsidRDefault="00000000">
      <w:pPr>
        <w:pStyle w:val="2"/>
        <w:spacing w:line="480" w:lineRule="auto"/>
        <w:jc w:val="left"/>
      </w:pPr>
      <w:r>
        <w:t>Spatial transcriptomic analysis</w:t>
      </w:r>
    </w:p>
    <w:p w14:paraId="50829A01" w14:textId="77777777" w:rsidR="00D34FD0" w:rsidRDefault="00000000">
      <w:pPr>
        <w:spacing w:line="480" w:lineRule="auto"/>
        <w:jc w:val="left"/>
      </w:pPr>
      <w:r>
        <w:t>Spatial transcriptomic datasets were used to evaluate C1Q-associated spatial organization, macrophage-associated localization and immune-neighborhood context. Spatial autocorrelation and neighborhood enrichment analyses were interpreted as spatial context rather than direct cell-cell interaction. Comparator markers included SPP1, CD68, CD163, APOE and TREM2. Spatial dataset characteristics and quality-control summaries are provided in S8 Table.</w:t>
      </w:r>
    </w:p>
    <w:p w14:paraId="3D5AF5B9" w14:textId="77777777" w:rsidR="00D34FD0" w:rsidRDefault="00000000">
      <w:pPr>
        <w:pStyle w:val="2"/>
        <w:spacing w:line="480" w:lineRule="auto"/>
        <w:jc w:val="left"/>
      </w:pPr>
      <w:r>
        <w:t>Survival traceability and cross-cohort assessment</w:t>
      </w:r>
    </w:p>
    <w:p w14:paraId="6591A07B" w14:textId="77777777" w:rsidR="00D34FD0" w:rsidRDefault="00000000">
      <w:pPr>
        <w:spacing w:line="480" w:lineRule="auto"/>
        <w:jc w:val="left"/>
      </w:pPr>
      <w:r>
        <w:t xml:space="preserve">Survival analyses used Kaplan-Meier curves, log-rank tests and Cox proportional hazards models. Hazard ratios were estimated per 1 SD higher C1Q score. External GEO estimates were recalculated </w:t>
      </w:r>
      <w:r>
        <w:lastRenderedPageBreak/>
        <w:t>from GEO series-matrix metadata and expression values, and cohort-level estimates were summarized using random-effects meta-analysis with heterogeneity quantified using I² and τ². These analyses were interpreted as survival traceability and robustness assessment, not clinical prediction assessment.</w:t>
      </w:r>
    </w:p>
    <w:p w14:paraId="1EC68C91" w14:textId="77777777" w:rsidR="00D34FD0" w:rsidRDefault="00000000">
      <w:pPr>
        <w:pStyle w:val="2"/>
        <w:spacing w:line="480" w:lineRule="auto"/>
        <w:jc w:val="left"/>
      </w:pPr>
      <w:r>
        <w:t>Comparator and sensitivity analyses</w:t>
      </w:r>
    </w:p>
    <w:p w14:paraId="420B5025" w14:textId="77777777" w:rsidR="00D34FD0" w:rsidRDefault="00000000">
      <w:pPr>
        <w:spacing w:line="480" w:lineRule="auto"/>
        <w:jc w:val="left"/>
      </w:pPr>
      <w:r>
        <w:t>Comparator analyses assessed whether C1Q reflected a distinct macrophage-associated program rather than generic immune infiltration. Immune-marker and cell-context correlations are summarized in S4 Table. Computational attenuation multiplied observed C1Q expression by prespecified attenuation factors and was used only as an internal consistency analysis. Immunotherapy-associated cohorts were analyzed only as exploratory immune-context datasets and were not used to establish a treatment-response biomarker.</w:t>
      </w:r>
    </w:p>
    <w:p w14:paraId="470E817E" w14:textId="77777777" w:rsidR="00D34FD0" w:rsidRDefault="00000000">
      <w:pPr>
        <w:pStyle w:val="2"/>
        <w:spacing w:line="480" w:lineRule="auto"/>
        <w:jc w:val="left"/>
      </w:pPr>
      <w:r>
        <w:t>Code, data and reproducibility</w:t>
      </w:r>
    </w:p>
    <w:p w14:paraId="128AA7C0" w14:textId="77777777" w:rsidR="00D34FD0" w:rsidRDefault="00000000">
      <w:pPr>
        <w:spacing w:line="480" w:lineRule="auto"/>
        <w:jc w:val="left"/>
      </w:pPr>
      <w:r>
        <w:t>All raw datasets were obtained from public repositories. A data-source table, minimal-dataset manifest, figure-source-data notes and code-availability statement are provided with the submission package. Repository accession numbers are listed in the data-source manifest, and the public code/data repository is available at https://github.com/morningLxj/spatial-immunotherapy-prediction.</w:t>
      </w:r>
    </w:p>
    <w:p w14:paraId="6C523695" w14:textId="77777777" w:rsidR="00684F8F" w:rsidRDefault="00000000">
      <w:pPr>
        <w:spacing w:line="480" w:lineRule="auto"/>
        <w:jc w:val="left"/>
      </w:pPr>
      <w:r>
        <w:rPr>
          <w:b/>
        </w:rPr>
        <w:t>Results</w:t>
      </w:r>
    </w:p>
    <w:p w14:paraId="2904D70F" w14:textId="77777777" w:rsidR="00684F8F" w:rsidRDefault="00000000">
      <w:pPr>
        <w:spacing w:line="480" w:lineRule="auto"/>
        <w:jc w:val="left"/>
      </w:pPr>
      <w:r>
        <w:t>Cohort structure and public-data analysis workflow</w:t>
      </w:r>
    </w:p>
    <w:p w14:paraId="39BB27B3" w14:textId="77777777" w:rsidR="00684F8F" w:rsidRDefault="00000000">
      <w:pPr>
        <w:spacing w:line="480" w:lineRule="auto"/>
        <w:jc w:val="left"/>
      </w:pPr>
      <w:r>
        <w:t>The final discovery and histology-stratified analyses included TCGA-LUAD and TCGA-LUSC patients with harmonized expression and clinical data. Seven external GEO cohorts were retained for transcriptomic survival traceability, and three immunotherapy-associated cohorts were retained for exploratory immune-context assessment. Public proteomic analyses used three CPTAC/PDC lung cancer proteome resources. Spatial analyses used Visium and CosMx/SMI resources to evaluate the C1Q program at complementary spatial resolutions.</w:t>
      </w:r>
    </w:p>
    <w:p w14:paraId="5BEEE248" w14:textId="77777777" w:rsidR="00684F8F" w:rsidRDefault="00000000">
      <w:pPr>
        <w:spacing w:line="480" w:lineRule="auto"/>
        <w:jc w:val="left"/>
      </w:pPr>
      <w:r>
        <w:lastRenderedPageBreak/>
        <w:t>Cohort characteristics are summarized in Table 1, and the overall public-data analytical framework is shown in Fig 1.</w:t>
      </w:r>
    </w:p>
    <w:p w14:paraId="766BBF57" w14:textId="77777777" w:rsidR="00E374BA" w:rsidRDefault="00E374BA" w:rsidP="007E030A">
      <w:pPr>
        <w:spacing w:before="120" w:after="60"/>
        <w:rPr>
          <w:rFonts w:eastAsiaTheme="minorEastAsia"/>
          <w:b/>
          <w:i/>
          <w:sz w:val="20"/>
        </w:rPr>
      </w:pPr>
      <w:r>
        <w:rPr>
          <w:rFonts w:eastAsiaTheme="minorEastAsia"/>
          <w:b/>
          <w:i/>
          <w:noProof/>
          <w:sz w:val="20"/>
        </w:rPr>
        <w:drawing>
          <wp:inline distT="0" distB="0" distL="0" distR="0" wp14:anchorId="650D9178" wp14:editId="52F0167B">
            <wp:extent cx="6190615" cy="2144395"/>
            <wp:effectExtent l="0" t="0" r="635" b="8255"/>
            <wp:docPr id="18252516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1688" name="图片 1825251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90615" cy="2144395"/>
                    </a:xfrm>
                    <a:prstGeom prst="rect">
                      <a:avLst/>
                    </a:prstGeom>
                  </pic:spPr>
                </pic:pic>
              </a:graphicData>
            </a:graphic>
          </wp:inline>
        </w:drawing>
      </w:r>
    </w:p>
    <w:p w14:paraId="1E986EFC" w14:textId="77777777" w:rsidR="00E374BA" w:rsidRPr="00E374BA" w:rsidRDefault="00E374BA" w:rsidP="00E374BA">
      <w:pPr>
        <w:spacing w:before="120" w:after="60"/>
        <w:rPr>
          <w:rFonts w:eastAsiaTheme="minorEastAsia"/>
          <w:b/>
          <w:sz w:val="21"/>
          <w:szCs w:val="22"/>
        </w:rPr>
      </w:pPr>
      <w:r w:rsidRPr="00E374BA">
        <w:rPr>
          <w:rFonts w:eastAsiaTheme="minorEastAsia"/>
          <w:b/>
          <w:sz w:val="21"/>
          <w:szCs w:val="22"/>
        </w:rPr>
        <w:t>Fig 1. Overview of the public-data integration and analytical framework.</w:t>
      </w:r>
    </w:p>
    <w:p w14:paraId="58E66F1F" w14:textId="77777777" w:rsidR="00E374BA" w:rsidRPr="00E374BA" w:rsidRDefault="00E374BA" w:rsidP="00E374BA">
      <w:pPr>
        <w:spacing w:before="120" w:after="60"/>
        <w:rPr>
          <w:rFonts w:eastAsiaTheme="minorEastAsia"/>
          <w:bCs/>
          <w:i/>
          <w:iCs/>
          <w:sz w:val="21"/>
          <w:szCs w:val="22"/>
        </w:rPr>
      </w:pPr>
      <w:r w:rsidRPr="00E374BA">
        <w:rPr>
          <w:rFonts w:eastAsiaTheme="minorEastAsia"/>
          <w:bCs/>
          <w:i/>
          <w:iCs/>
          <w:sz w:val="20"/>
          <w:szCs w:val="21"/>
        </w:rPr>
        <w:t>This schematic summarizes the overall study design. Publicly available datasets included TCGA-LUAD/LUSC, seven external GEO cohorts, spatial transcriptomics data, and public protein-level resources. The analytical workflow comprised construction of a C1Q-only score and a full traceability score, spatial autocorrelation analysis, and comparator analyses. Robustness layers included external GEO validation, histology-aware analyses, SPP1/CD68/CD163 comparisons, and attenuation sensitivity analyses. The output scope was restricted to public-data integration, biological traceability, and external robustness assessment.</w:t>
      </w:r>
    </w:p>
    <w:p w14:paraId="1B41CD3C" w14:textId="77777777" w:rsidR="00E374BA" w:rsidRDefault="00E374BA" w:rsidP="007E030A">
      <w:pPr>
        <w:spacing w:before="120" w:after="60"/>
        <w:rPr>
          <w:rFonts w:eastAsiaTheme="minorEastAsia"/>
          <w:b/>
          <w:sz w:val="22"/>
        </w:rPr>
      </w:pPr>
    </w:p>
    <w:p w14:paraId="466B2986" w14:textId="77777777" w:rsidR="007E030A" w:rsidRDefault="007E030A" w:rsidP="007E030A">
      <w:pPr>
        <w:spacing w:before="120" w:after="60"/>
      </w:pPr>
      <w:r>
        <w:rPr>
          <w:b/>
          <w:sz w:val="22"/>
        </w:rPr>
        <w:t>Table 1. Public datasets and analytical resources used in this study.</w:t>
      </w:r>
    </w:p>
    <w:tbl>
      <w:tblPr>
        <w:tblW w:w="0" w:type="auto"/>
        <w:tblLook w:val="04A0" w:firstRow="1" w:lastRow="0" w:firstColumn="1" w:lastColumn="0" w:noHBand="0" w:noVBand="1"/>
      </w:tblPr>
      <w:tblGrid>
        <w:gridCol w:w="2437"/>
        <w:gridCol w:w="2437"/>
        <w:gridCol w:w="2437"/>
        <w:gridCol w:w="2437"/>
      </w:tblGrid>
      <w:tr w:rsidR="007E030A" w14:paraId="6F32E2D1" w14:textId="77777777" w:rsidTr="001E235C">
        <w:tc>
          <w:tcPr>
            <w:tcW w:w="2437" w:type="dxa"/>
            <w:tcBorders>
              <w:top w:val="single" w:sz="8" w:space="0" w:color="000000"/>
              <w:left w:val="nil"/>
              <w:bottom w:val="single" w:sz="6" w:space="0" w:color="000000"/>
              <w:right w:val="nil"/>
            </w:tcBorders>
          </w:tcPr>
          <w:p w14:paraId="1824D266" w14:textId="77777777" w:rsidR="007E030A" w:rsidRDefault="007E030A" w:rsidP="001E235C">
            <w:pPr>
              <w:spacing w:line="240" w:lineRule="auto"/>
            </w:pPr>
            <w:r>
              <w:rPr>
                <w:b/>
                <w:sz w:val="17"/>
              </w:rPr>
              <w:t>Dataset/resource</w:t>
            </w:r>
          </w:p>
        </w:tc>
        <w:tc>
          <w:tcPr>
            <w:tcW w:w="2437" w:type="dxa"/>
            <w:tcBorders>
              <w:top w:val="single" w:sz="8" w:space="0" w:color="000000"/>
              <w:left w:val="nil"/>
              <w:bottom w:val="single" w:sz="6" w:space="0" w:color="000000"/>
              <w:right w:val="nil"/>
            </w:tcBorders>
          </w:tcPr>
          <w:p w14:paraId="57A848ED" w14:textId="77777777" w:rsidR="007E030A" w:rsidRDefault="007E030A" w:rsidP="001E235C">
            <w:pPr>
              <w:spacing w:line="240" w:lineRule="auto"/>
            </w:pPr>
            <w:r>
              <w:rPr>
                <w:b/>
                <w:sz w:val="17"/>
              </w:rPr>
              <w:t>Role in study</w:t>
            </w:r>
          </w:p>
        </w:tc>
        <w:tc>
          <w:tcPr>
            <w:tcW w:w="2437" w:type="dxa"/>
            <w:tcBorders>
              <w:top w:val="single" w:sz="8" w:space="0" w:color="000000"/>
              <w:left w:val="nil"/>
              <w:bottom w:val="single" w:sz="6" w:space="0" w:color="000000"/>
              <w:right w:val="nil"/>
            </w:tcBorders>
          </w:tcPr>
          <w:p w14:paraId="6E029CF0" w14:textId="77777777" w:rsidR="007E030A" w:rsidRDefault="007E030A" w:rsidP="001E235C">
            <w:pPr>
              <w:spacing w:line="240" w:lineRule="auto"/>
            </w:pPr>
            <w:r>
              <w:rPr>
                <w:b/>
                <w:sz w:val="17"/>
              </w:rPr>
              <w:t>Coverage</w:t>
            </w:r>
          </w:p>
        </w:tc>
        <w:tc>
          <w:tcPr>
            <w:tcW w:w="2437" w:type="dxa"/>
            <w:tcBorders>
              <w:top w:val="single" w:sz="8" w:space="0" w:color="000000"/>
              <w:left w:val="nil"/>
              <w:bottom w:val="single" w:sz="6" w:space="0" w:color="000000"/>
              <w:right w:val="nil"/>
            </w:tcBorders>
          </w:tcPr>
          <w:p w14:paraId="754B9227" w14:textId="77777777" w:rsidR="007E030A" w:rsidRDefault="007E030A" w:rsidP="001E235C">
            <w:pPr>
              <w:spacing w:line="240" w:lineRule="auto"/>
            </w:pPr>
            <w:r>
              <w:rPr>
                <w:b/>
                <w:sz w:val="17"/>
              </w:rPr>
              <w:t>Endpoint/use</w:t>
            </w:r>
          </w:p>
        </w:tc>
      </w:tr>
      <w:tr w:rsidR="007E030A" w14:paraId="659A03F6" w14:textId="77777777" w:rsidTr="001E235C">
        <w:tc>
          <w:tcPr>
            <w:tcW w:w="2437" w:type="dxa"/>
            <w:tcBorders>
              <w:top w:val="nil"/>
              <w:left w:val="nil"/>
              <w:bottom w:val="nil"/>
              <w:right w:val="nil"/>
            </w:tcBorders>
          </w:tcPr>
          <w:p w14:paraId="0E34677C" w14:textId="77777777" w:rsidR="007E030A" w:rsidRDefault="007E030A" w:rsidP="001E235C">
            <w:pPr>
              <w:spacing w:line="240" w:lineRule="auto"/>
            </w:pPr>
            <w:r>
              <w:rPr>
                <w:sz w:val="17"/>
              </w:rPr>
              <w:t>TCGA-LUAD and TCGA-LUSC</w:t>
            </w:r>
          </w:p>
        </w:tc>
        <w:tc>
          <w:tcPr>
            <w:tcW w:w="2437" w:type="dxa"/>
            <w:tcBorders>
              <w:top w:val="nil"/>
              <w:left w:val="nil"/>
              <w:bottom w:val="nil"/>
              <w:right w:val="nil"/>
            </w:tcBorders>
          </w:tcPr>
          <w:p w14:paraId="0B72C7C2" w14:textId="77777777" w:rsidR="007E030A" w:rsidRDefault="007E030A" w:rsidP="001E235C">
            <w:pPr>
              <w:spacing w:line="240" w:lineRule="auto"/>
            </w:pPr>
            <w:r>
              <w:rPr>
                <w:sz w:val="17"/>
              </w:rPr>
              <w:t>Discovery, histology-stratified analysis and score characterization</w:t>
            </w:r>
          </w:p>
        </w:tc>
        <w:tc>
          <w:tcPr>
            <w:tcW w:w="2437" w:type="dxa"/>
            <w:tcBorders>
              <w:top w:val="nil"/>
              <w:left w:val="nil"/>
              <w:bottom w:val="nil"/>
              <w:right w:val="nil"/>
            </w:tcBorders>
          </w:tcPr>
          <w:p w14:paraId="4D660A6F" w14:textId="77777777" w:rsidR="007E030A" w:rsidRDefault="007E030A" w:rsidP="001E235C">
            <w:pPr>
              <w:spacing w:line="240" w:lineRule="auto"/>
            </w:pPr>
            <w:r>
              <w:rPr>
                <w:sz w:val="17"/>
              </w:rPr>
              <w:t>1,008 NSCLC cases with harmonized expression and clinical data</w:t>
            </w:r>
          </w:p>
        </w:tc>
        <w:tc>
          <w:tcPr>
            <w:tcW w:w="2437" w:type="dxa"/>
            <w:tcBorders>
              <w:top w:val="nil"/>
              <w:left w:val="nil"/>
              <w:bottom w:val="nil"/>
              <w:right w:val="nil"/>
            </w:tcBorders>
          </w:tcPr>
          <w:p w14:paraId="5EAB1D90" w14:textId="77777777" w:rsidR="007E030A" w:rsidRDefault="007E030A" w:rsidP="001E235C">
            <w:pPr>
              <w:spacing w:line="240" w:lineRule="auto"/>
            </w:pPr>
            <w:r>
              <w:rPr>
                <w:sz w:val="17"/>
              </w:rPr>
              <w:t>Expression, survival and available clinical covariates</w:t>
            </w:r>
          </w:p>
        </w:tc>
      </w:tr>
      <w:tr w:rsidR="007E030A" w14:paraId="3E37191D" w14:textId="77777777" w:rsidTr="001E235C">
        <w:tc>
          <w:tcPr>
            <w:tcW w:w="2437" w:type="dxa"/>
            <w:tcBorders>
              <w:top w:val="nil"/>
              <w:left w:val="nil"/>
              <w:bottom w:val="nil"/>
              <w:right w:val="nil"/>
            </w:tcBorders>
          </w:tcPr>
          <w:p w14:paraId="6096EEB9" w14:textId="77777777" w:rsidR="007E030A" w:rsidRDefault="007E030A" w:rsidP="001E235C">
            <w:pPr>
              <w:spacing w:line="240" w:lineRule="auto"/>
            </w:pPr>
            <w:r>
              <w:rPr>
                <w:sz w:val="17"/>
              </w:rPr>
              <w:t>Seven GEO cohorts: GSE30219, GSE37745, GSE42127, GSE50081, GSE68465, GSE72094 and GSE31210</w:t>
            </w:r>
          </w:p>
        </w:tc>
        <w:tc>
          <w:tcPr>
            <w:tcW w:w="2437" w:type="dxa"/>
            <w:tcBorders>
              <w:top w:val="nil"/>
              <w:left w:val="nil"/>
              <w:bottom w:val="nil"/>
              <w:right w:val="nil"/>
            </w:tcBorders>
          </w:tcPr>
          <w:p w14:paraId="195120CD" w14:textId="77777777" w:rsidR="007E030A" w:rsidRDefault="007E030A" w:rsidP="001E235C">
            <w:pPr>
              <w:spacing w:line="240" w:lineRule="auto"/>
            </w:pPr>
            <w:r>
              <w:rPr>
                <w:sz w:val="17"/>
              </w:rPr>
              <w:t>Cross-cohort survival traceability</w:t>
            </w:r>
          </w:p>
        </w:tc>
        <w:tc>
          <w:tcPr>
            <w:tcW w:w="2437" w:type="dxa"/>
            <w:tcBorders>
              <w:top w:val="nil"/>
              <w:left w:val="nil"/>
              <w:bottom w:val="nil"/>
              <w:right w:val="nil"/>
            </w:tcBorders>
          </w:tcPr>
          <w:p w14:paraId="58641A09" w14:textId="77777777" w:rsidR="007E030A" w:rsidRDefault="007E030A" w:rsidP="001E235C">
            <w:pPr>
              <w:spacing w:line="240" w:lineRule="auto"/>
            </w:pPr>
            <w:r>
              <w:rPr>
                <w:sz w:val="17"/>
              </w:rPr>
              <w:t>1,814 samples and 841 events in the strict exact-probe Cox source table</w:t>
            </w:r>
          </w:p>
        </w:tc>
        <w:tc>
          <w:tcPr>
            <w:tcW w:w="2437" w:type="dxa"/>
            <w:tcBorders>
              <w:top w:val="nil"/>
              <w:left w:val="nil"/>
              <w:bottom w:val="nil"/>
              <w:right w:val="nil"/>
            </w:tcBorders>
          </w:tcPr>
          <w:p w14:paraId="1347A2A4" w14:textId="77777777" w:rsidR="007E030A" w:rsidRDefault="007E030A" w:rsidP="001E235C">
            <w:pPr>
              <w:spacing w:line="240" w:lineRule="auto"/>
            </w:pPr>
            <w:r>
              <w:rPr>
                <w:sz w:val="17"/>
              </w:rPr>
              <w:t>Cohort-level survival association and random-effects summary</w:t>
            </w:r>
          </w:p>
        </w:tc>
      </w:tr>
      <w:tr w:rsidR="007E030A" w14:paraId="7DD822E1" w14:textId="77777777" w:rsidTr="001E235C">
        <w:tc>
          <w:tcPr>
            <w:tcW w:w="2437" w:type="dxa"/>
            <w:tcBorders>
              <w:top w:val="nil"/>
              <w:left w:val="nil"/>
              <w:bottom w:val="nil"/>
              <w:right w:val="nil"/>
            </w:tcBorders>
          </w:tcPr>
          <w:p w14:paraId="62CB3577" w14:textId="77777777" w:rsidR="007E030A" w:rsidRDefault="007E030A" w:rsidP="001E235C">
            <w:pPr>
              <w:spacing w:line="240" w:lineRule="auto"/>
            </w:pPr>
            <w:r>
              <w:rPr>
                <w:sz w:val="17"/>
              </w:rPr>
              <w:t>GSE126044, GSE135222 and GSE91061</w:t>
            </w:r>
          </w:p>
        </w:tc>
        <w:tc>
          <w:tcPr>
            <w:tcW w:w="2437" w:type="dxa"/>
            <w:tcBorders>
              <w:top w:val="nil"/>
              <w:left w:val="nil"/>
              <w:bottom w:val="nil"/>
              <w:right w:val="nil"/>
            </w:tcBorders>
          </w:tcPr>
          <w:p w14:paraId="28CEFE75" w14:textId="77777777" w:rsidR="007E030A" w:rsidRDefault="007E030A" w:rsidP="001E235C">
            <w:pPr>
              <w:spacing w:line="240" w:lineRule="auto"/>
            </w:pPr>
            <w:r>
              <w:rPr>
                <w:sz w:val="17"/>
              </w:rPr>
              <w:t>Exploratory immunotherapy-associated immune-context analysis</w:t>
            </w:r>
          </w:p>
        </w:tc>
        <w:tc>
          <w:tcPr>
            <w:tcW w:w="2437" w:type="dxa"/>
            <w:tcBorders>
              <w:top w:val="nil"/>
              <w:left w:val="nil"/>
              <w:bottom w:val="nil"/>
              <w:right w:val="nil"/>
            </w:tcBorders>
          </w:tcPr>
          <w:p w14:paraId="28049B62" w14:textId="77777777" w:rsidR="007E030A" w:rsidRDefault="007E030A" w:rsidP="001E235C">
            <w:pPr>
              <w:spacing w:line="240" w:lineRule="auto"/>
            </w:pPr>
            <w:r>
              <w:rPr>
                <w:sz w:val="17"/>
              </w:rPr>
              <w:t>Public response-coded or immune-context datasets</w:t>
            </w:r>
          </w:p>
        </w:tc>
        <w:tc>
          <w:tcPr>
            <w:tcW w:w="2437" w:type="dxa"/>
            <w:tcBorders>
              <w:top w:val="nil"/>
              <w:left w:val="nil"/>
              <w:bottom w:val="nil"/>
              <w:right w:val="nil"/>
            </w:tcBorders>
          </w:tcPr>
          <w:p w14:paraId="53C9C003" w14:textId="77777777" w:rsidR="007E030A" w:rsidRDefault="007E030A" w:rsidP="001E235C">
            <w:pPr>
              <w:spacing w:line="240" w:lineRule="auto"/>
            </w:pPr>
            <w:r>
              <w:rPr>
                <w:sz w:val="17"/>
              </w:rPr>
              <w:t>Exploratory association only; not treatment-response validation</w:t>
            </w:r>
          </w:p>
        </w:tc>
      </w:tr>
      <w:tr w:rsidR="007E030A" w14:paraId="1FF99922" w14:textId="77777777" w:rsidTr="001E235C">
        <w:tc>
          <w:tcPr>
            <w:tcW w:w="2437" w:type="dxa"/>
            <w:tcBorders>
              <w:top w:val="nil"/>
              <w:left w:val="nil"/>
              <w:bottom w:val="nil"/>
              <w:right w:val="nil"/>
            </w:tcBorders>
          </w:tcPr>
          <w:p w14:paraId="67BF123D" w14:textId="77777777" w:rsidR="007E030A" w:rsidRDefault="007E030A" w:rsidP="001E235C">
            <w:pPr>
              <w:spacing w:line="240" w:lineRule="auto"/>
            </w:pPr>
            <w:r>
              <w:rPr>
                <w:sz w:val="17"/>
              </w:rPr>
              <w:t>Public spatial transcriptomic resources</w:t>
            </w:r>
          </w:p>
        </w:tc>
        <w:tc>
          <w:tcPr>
            <w:tcW w:w="2437" w:type="dxa"/>
            <w:tcBorders>
              <w:top w:val="nil"/>
              <w:left w:val="nil"/>
              <w:bottom w:val="nil"/>
              <w:right w:val="nil"/>
            </w:tcBorders>
          </w:tcPr>
          <w:p w14:paraId="282B9BC8" w14:textId="77777777" w:rsidR="007E030A" w:rsidRDefault="007E030A" w:rsidP="001E235C">
            <w:pPr>
              <w:spacing w:line="240" w:lineRule="auto"/>
            </w:pPr>
            <w:r>
              <w:rPr>
                <w:sz w:val="17"/>
              </w:rPr>
              <w:t>Spatial organization and immune-neighborhood context</w:t>
            </w:r>
          </w:p>
        </w:tc>
        <w:tc>
          <w:tcPr>
            <w:tcW w:w="2437" w:type="dxa"/>
            <w:tcBorders>
              <w:top w:val="nil"/>
              <w:left w:val="nil"/>
              <w:bottom w:val="nil"/>
              <w:right w:val="nil"/>
            </w:tcBorders>
          </w:tcPr>
          <w:p w14:paraId="2C041788" w14:textId="77777777" w:rsidR="007E030A" w:rsidRDefault="007E030A" w:rsidP="001E235C">
            <w:pPr>
              <w:spacing w:line="240" w:lineRule="auto"/>
            </w:pPr>
            <w:proofErr w:type="spellStart"/>
            <w:r>
              <w:rPr>
                <w:sz w:val="17"/>
              </w:rPr>
              <w:t>Visium</w:t>
            </w:r>
            <w:proofErr w:type="spellEnd"/>
            <w:r>
              <w:rPr>
                <w:sz w:val="17"/>
              </w:rPr>
              <w:t>/</w:t>
            </w:r>
            <w:proofErr w:type="spellStart"/>
            <w:r>
              <w:rPr>
                <w:sz w:val="17"/>
              </w:rPr>
              <w:t>CosMx</w:t>
            </w:r>
            <w:proofErr w:type="spellEnd"/>
            <w:r>
              <w:rPr>
                <w:sz w:val="17"/>
              </w:rPr>
              <w:t>/SMI-type public spatial resources</w:t>
            </w:r>
          </w:p>
        </w:tc>
        <w:tc>
          <w:tcPr>
            <w:tcW w:w="2437" w:type="dxa"/>
            <w:tcBorders>
              <w:top w:val="nil"/>
              <w:left w:val="nil"/>
              <w:bottom w:val="nil"/>
              <w:right w:val="nil"/>
            </w:tcBorders>
          </w:tcPr>
          <w:p w14:paraId="34078803" w14:textId="77777777" w:rsidR="007E030A" w:rsidRDefault="007E030A" w:rsidP="001E235C">
            <w:pPr>
              <w:spacing w:line="240" w:lineRule="auto"/>
            </w:pPr>
            <w:r>
              <w:rPr>
                <w:sz w:val="17"/>
              </w:rPr>
              <w:t>Moran's I, hotspot summaries and neighborhood context</w:t>
            </w:r>
          </w:p>
        </w:tc>
      </w:tr>
      <w:tr w:rsidR="007E030A" w14:paraId="53F8470D" w14:textId="77777777" w:rsidTr="001E235C">
        <w:tc>
          <w:tcPr>
            <w:tcW w:w="2437" w:type="dxa"/>
            <w:tcBorders>
              <w:top w:val="nil"/>
              <w:left w:val="nil"/>
              <w:bottom w:val="single" w:sz="8" w:space="0" w:color="000000"/>
              <w:right w:val="nil"/>
            </w:tcBorders>
          </w:tcPr>
          <w:p w14:paraId="4574701D" w14:textId="77777777" w:rsidR="007E030A" w:rsidRDefault="007E030A" w:rsidP="001E235C">
            <w:pPr>
              <w:spacing w:line="240" w:lineRule="auto"/>
            </w:pPr>
            <w:r>
              <w:rPr>
                <w:sz w:val="17"/>
              </w:rPr>
              <w:t>CPTAC/PDC public protein-level resources</w:t>
            </w:r>
          </w:p>
        </w:tc>
        <w:tc>
          <w:tcPr>
            <w:tcW w:w="2437" w:type="dxa"/>
            <w:tcBorders>
              <w:top w:val="nil"/>
              <w:left w:val="nil"/>
              <w:bottom w:val="single" w:sz="8" w:space="0" w:color="000000"/>
              <w:right w:val="nil"/>
            </w:tcBorders>
          </w:tcPr>
          <w:p w14:paraId="1EFDDC4F" w14:textId="77777777" w:rsidR="007E030A" w:rsidRDefault="007E030A" w:rsidP="001E235C">
            <w:pPr>
              <w:spacing w:line="240" w:lineRule="auto"/>
            </w:pPr>
            <w:r>
              <w:rPr>
                <w:sz w:val="17"/>
              </w:rPr>
              <w:t>Orthogonal protein-context support</w:t>
            </w:r>
          </w:p>
        </w:tc>
        <w:tc>
          <w:tcPr>
            <w:tcW w:w="2437" w:type="dxa"/>
            <w:tcBorders>
              <w:top w:val="nil"/>
              <w:left w:val="nil"/>
              <w:bottom w:val="single" w:sz="8" w:space="0" w:color="000000"/>
              <w:right w:val="nil"/>
            </w:tcBorders>
          </w:tcPr>
          <w:p w14:paraId="0BF97907" w14:textId="77777777" w:rsidR="007E030A" w:rsidRDefault="007E030A" w:rsidP="001E235C">
            <w:pPr>
              <w:spacing w:line="240" w:lineRule="auto"/>
            </w:pPr>
            <w:r>
              <w:rPr>
                <w:sz w:val="17"/>
              </w:rPr>
              <w:t>Public LUAD/LUSC proteome resources</w:t>
            </w:r>
          </w:p>
        </w:tc>
        <w:tc>
          <w:tcPr>
            <w:tcW w:w="2437" w:type="dxa"/>
            <w:tcBorders>
              <w:top w:val="nil"/>
              <w:left w:val="nil"/>
              <w:bottom w:val="single" w:sz="8" w:space="0" w:color="000000"/>
              <w:right w:val="nil"/>
            </w:tcBorders>
          </w:tcPr>
          <w:p w14:paraId="7CA4A91A" w14:textId="77777777" w:rsidR="007E030A" w:rsidRDefault="007E030A" w:rsidP="001E235C">
            <w:pPr>
              <w:spacing w:line="240" w:lineRule="auto"/>
            </w:pPr>
            <w:r>
              <w:rPr>
                <w:sz w:val="17"/>
              </w:rPr>
              <w:t>C1Q-marker protein correlations</w:t>
            </w:r>
          </w:p>
        </w:tc>
      </w:tr>
    </w:tbl>
    <w:p w14:paraId="76CA9A42" w14:textId="77777777" w:rsidR="007E030A" w:rsidRDefault="007E030A" w:rsidP="007E030A">
      <w:pPr>
        <w:spacing w:before="40"/>
      </w:pPr>
      <w:r>
        <w:rPr>
          <w:i/>
          <w:sz w:val="18"/>
        </w:rPr>
        <w:t>Note: TCGA-LUAD and TCGA-LUSC were used for discovery, histology-stratified analyses, and score characterization. External GEO cohorts were used for survival traceability analyses. Public spatial transcriptomics and protein-level resources were used to provide biological-context evidence rather than independent experimental validation.</w:t>
      </w:r>
    </w:p>
    <w:p w14:paraId="558CBC54" w14:textId="77777777" w:rsidR="00684F8F" w:rsidRDefault="00000000">
      <w:pPr>
        <w:spacing w:line="480" w:lineRule="auto"/>
        <w:jc w:val="left"/>
      </w:pPr>
      <w:r>
        <w:t>C1Q-associated macrophage genes showed coherent expression and spatial organization</w:t>
      </w:r>
    </w:p>
    <w:p w14:paraId="1321C127" w14:textId="77777777" w:rsidR="00684F8F" w:rsidRDefault="00000000">
      <w:pPr>
        <w:spacing w:line="480" w:lineRule="auto"/>
        <w:jc w:val="left"/>
      </w:pPr>
      <w:r>
        <w:t xml:space="preserve">Nested cross-validation and bootstrap resampling identified a stable candidate feature set. Rather than treating the selected genes as a purely predictive signature, we used them as the entry point for </w:t>
      </w:r>
      <w:r>
        <w:lastRenderedPageBreak/>
        <w:t>biological traceability analyses. This ensured that downstream spatial, comparator and survival traceability analyses were anchored in reproducible transcriptomic features (S2 Fig; S2 Table).</w:t>
      </w:r>
    </w:p>
    <w:p w14:paraId="10FBB875" w14:textId="77777777" w:rsidR="00684F8F" w:rsidRDefault="00000000">
      <w:pPr>
        <w:spacing w:line="480" w:lineRule="auto"/>
        <w:jc w:val="left"/>
      </w:pPr>
      <w:r>
        <w:t>Feature selection and model-benchmarking context are shown in S2 Fig and S1 Table. Candidate feature definitions and score-construction details are provided in S2 Table and S9 Table, and cross-layer evidence convergence for the C1Q axis and comparator markers is summarized in Fig 2.</w:t>
      </w:r>
    </w:p>
    <w:p w14:paraId="23E01854" w14:textId="77777777" w:rsidR="00E374BA" w:rsidRDefault="00E374BA">
      <w:pPr>
        <w:spacing w:line="480" w:lineRule="auto"/>
        <w:jc w:val="left"/>
        <w:rPr>
          <w:rFonts w:eastAsiaTheme="minorEastAsia"/>
          <w:b/>
          <w:i/>
          <w:sz w:val="20"/>
        </w:rPr>
      </w:pPr>
      <w:r>
        <w:rPr>
          <w:rFonts w:eastAsiaTheme="minorEastAsia"/>
          <w:b/>
          <w:i/>
          <w:noProof/>
          <w:sz w:val="20"/>
        </w:rPr>
        <w:drawing>
          <wp:inline distT="0" distB="0" distL="0" distR="0" wp14:anchorId="74B38846" wp14:editId="3BB6127D">
            <wp:extent cx="6190615" cy="4284980"/>
            <wp:effectExtent l="0" t="0" r="635" b="1270"/>
            <wp:docPr id="15824306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0611" name="图片 1582430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0615" cy="4284980"/>
                    </a:xfrm>
                    <a:prstGeom prst="rect">
                      <a:avLst/>
                    </a:prstGeom>
                  </pic:spPr>
                </pic:pic>
              </a:graphicData>
            </a:graphic>
          </wp:inline>
        </w:drawing>
      </w:r>
    </w:p>
    <w:p w14:paraId="67120E5A" w14:textId="77777777" w:rsidR="00E374BA" w:rsidRPr="00E374BA" w:rsidRDefault="00E374BA" w:rsidP="00E374BA">
      <w:pPr>
        <w:spacing w:line="480" w:lineRule="auto"/>
        <w:jc w:val="left"/>
        <w:rPr>
          <w:rFonts w:eastAsiaTheme="minorEastAsia"/>
          <w:b/>
          <w:iCs/>
          <w:sz w:val="21"/>
          <w:szCs w:val="28"/>
        </w:rPr>
      </w:pPr>
      <w:r w:rsidRPr="00E374BA">
        <w:rPr>
          <w:rFonts w:eastAsiaTheme="minorEastAsia"/>
          <w:b/>
          <w:iCs/>
          <w:sz w:val="21"/>
          <w:szCs w:val="28"/>
        </w:rPr>
        <w:t>Fig 2. Cross-layer evidence convergence of the C1Q-associated macrophage axis.</w:t>
      </w:r>
    </w:p>
    <w:p w14:paraId="3ABD899B" w14:textId="77777777" w:rsidR="00E374BA" w:rsidRPr="00E374BA" w:rsidRDefault="00E374BA" w:rsidP="00E374BA">
      <w:pPr>
        <w:spacing w:line="480" w:lineRule="auto"/>
        <w:jc w:val="left"/>
        <w:rPr>
          <w:rFonts w:eastAsiaTheme="minorEastAsia"/>
          <w:bCs/>
          <w:i/>
          <w:sz w:val="20"/>
        </w:rPr>
      </w:pPr>
      <w:r w:rsidRPr="00E374BA">
        <w:rPr>
          <w:rFonts w:eastAsiaTheme="minorEastAsia"/>
          <w:bCs/>
          <w:i/>
          <w:sz w:val="20"/>
        </w:rPr>
        <w:t>(A) Spatial autocorrelation of representative macrophage-associated genes, quantified by Moran’s I. C1QA, C1QB, and C1QC showed moderate spatial autocorrelation, whereas SPP1 showed stronger spatial clustering. (B) Correlations between selected macrophage-associated genes and CD8 immune-context signals. C1QA, C1QB, and C1QC showed positive associations with CD8 context, whereas SPP1 showed a negative or distinct direction. (C) Summary of cross-layer evidence comparing the C1Q axis, SPP1/CD68/CD163-related contexts, protein-level support, and clinical traceability. The C1Q-associated macrophage axis showed supportive spatial and immune-context evidence but weak or heterogeneous clinical traceability.</w:t>
      </w:r>
    </w:p>
    <w:p w14:paraId="1454E344" w14:textId="77777777" w:rsidR="00E374BA" w:rsidRDefault="00E374BA">
      <w:pPr>
        <w:spacing w:line="480" w:lineRule="auto"/>
        <w:jc w:val="left"/>
        <w:rPr>
          <w:rFonts w:eastAsiaTheme="minorEastAsia"/>
          <w:b/>
          <w:i/>
          <w:sz w:val="20"/>
        </w:rPr>
      </w:pPr>
    </w:p>
    <w:p w14:paraId="179F6705" w14:textId="77777777" w:rsidR="00684F8F" w:rsidRDefault="00000000">
      <w:pPr>
        <w:spacing w:line="480" w:lineRule="auto"/>
        <w:jc w:val="left"/>
      </w:pPr>
      <w:r>
        <w:lastRenderedPageBreak/>
        <w:t>C1Q genes showed reproducible macrophage-associated spatial organization within the analyzed public spatial transcriptomic resources</w:t>
      </w:r>
    </w:p>
    <w:p w14:paraId="593FF0F3" w14:textId="77777777" w:rsidR="00684F8F" w:rsidRDefault="00000000">
      <w:pPr>
        <w:spacing w:line="480" w:lineRule="auto"/>
        <w:jc w:val="left"/>
      </w:pPr>
      <w:r>
        <w:t>C1QA, C1QB, and C1QC were not diffusely expressed across the tumor microenvironment. Instead, they showed reproducible macrophage-associated clustering, with Moran's I values of 0.386, 0.381, and 0.377, respectively. These values indicate moderate but consistent spatial autocorrelation across the C1Q axis (S3 Table).</w:t>
      </w:r>
    </w:p>
    <w:p w14:paraId="050B74B8" w14:textId="77777777" w:rsidR="00684F8F" w:rsidRDefault="00000000">
      <w:pPr>
        <w:spacing w:line="480" w:lineRule="auto"/>
        <w:jc w:val="left"/>
        <w:rPr>
          <w:rFonts w:eastAsiaTheme="minorEastAsia"/>
        </w:rPr>
      </w:pPr>
      <w:r>
        <w:t>Spatial organization of the C1Q macrophage program is shown in Fig 3. Spatial transcriptomics quality-control and clustering context are shown in S1 Fig, and detailed spatial metrics are provided in S3 Table.</w:t>
      </w:r>
    </w:p>
    <w:p w14:paraId="2389738A" w14:textId="77777777" w:rsidR="00E374BA" w:rsidRDefault="00E374BA">
      <w:pPr>
        <w:spacing w:line="480" w:lineRule="auto"/>
        <w:jc w:val="left"/>
        <w:rPr>
          <w:rFonts w:eastAsiaTheme="minorEastAsia"/>
        </w:rPr>
      </w:pPr>
      <w:r>
        <w:rPr>
          <w:rFonts w:eastAsiaTheme="minorEastAsia"/>
          <w:noProof/>
        </w:rPr>
        <w:drawing>
          <wp:inline distT="0" distB="0" distL="0" distR="0" wp14:anchorId="16077538" wp14:editId="5A70FD66">
            <wp:extent cx="6190615" cy="4067175"/>
            <wp:effectExtent l="0" t="0" r="635" b="9525"/>
            <wp:docPr id="8723961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6141" name="图片 8723961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0615" cy="4067175"/>
                    </a:xfrm>
                    <a:prstGeom prst="rect">
                      <a:avLst/>
                    </a:prstGeom>
                  </pic:spPr>
                </pic:pic>
              </a:graphicData>
            </a:graphic>
          </wp:inline>
        </w:drawing>
      </w:r>
    </w:p>
    <w:p w14:paraId="6B222D8D" w14:textId="77777777" w:rsidR="00E374BA" w:rsidRPr="00E374BA" w:rsidRDefault="00E374BA" w:rsidP="00E374BA">
      <w:pPr>
        <w:spacing w:line="480" w:lineRule="auto"/>
        <w:jc w:val="left"/>
        <w:rPr>
          <w:rFonts w:eastAsiaTheme="minorEastAsia"/>
          <w:b/>
          <w:bCs/>
          <w:sz w:val="21"/>
          <w:szCs w:val="21"/>
        </w:rPr>
      </w:pPr>
      <w:r w:rsidRPr="00E374BA">
        <w:rPr>
          <w:rFonts w:eastAsiaTheme="minorEastAsia"/>
          <w:b/>
          <w:bCs/>
          <w:sz w:val="21"/>
          <w:szCs w:val="21"/>
        </w:rPr>
        <w:t>Fig 3. Spatial and immune-context characterization of C1Q-associated macrophage signals.</w:t>
      </w:r>
    </w:p>
    <w:p w14:paraId="193A71D0" w14:textId="77777777" w:rsidR="00E374BA" w:rsidRPr="00E374BA" w:rsidRDefault="00E374BA" w:rsidP="00E374BA">
      <w:pPr>
        <w:spacing w:line="480" w:lineRule="auto"/>
        <w:jc w:val="left"/>
        <w:rPr>
          <w:rFonts w:eastAsiaTheme="minorEastAsia"/>
          <w:i/>
          <w:iCs/>
          <w:sz w:val="20"/>
          <w:szCs w:val="20"/>
        </w:rPr>
      </w:pPr>
      <w:r w:rsidRPr="00E374BA">
        <w:rPr>
          <w:rFonts w:eastAsiaTheme="minorEastAsia"/>
          <w:i/>
          <w:iCs/>
          <w:sz w:val="20"/>
          <w:szCs w:val="20"/>
        </w:rPr>
        <w:t>(A) Dataset-level spatial autocorrelation of C1Q-related genes and comparator macrophage markers. (B) Joint visualization of hotspot strength and spatial clustering, showing that SPP1 displayed the strongest hotspot-like spatial pattern, whereas C1QA/B/C showed moderate clustering. (C) Correlations between the C1Q score and immune-context markers, including macrophage-, T-cell-, immune-, SPP1-, and tumor-context signals. (D) Summary metrics for C1Q-</w:t>
      </w:r>
      <w:r w:rsidRPr="00E374BA">
        <w:rPr>
          <w:rFonts w:eastAsiaTheme="minorEastAsia"/>
          <w:i/>
          <w:iCs/>
          <w:sz w:val="20"/>
          <w:szCs w:val="20"/>
        </w:rPr>
        <w:lastRenderedPageBreak/>
        <w:t>SPP1 hotspot overlap, C1Q-CD68 neighborhood association, and C1Q-CD163 context. These analyses indicate that the C1Q-associated macrophage signal is spatially organized and immunologically traceable, while remaining distinct from SPP1-dominant hotspot patterns.</w:t>
      </w:r>
    </w:p>
    <w:p w14:paraId="722CE824" w14:textId="77777777" w:rsidR="00E374BA" w:rsidRPr="00E374BA" w:rsidRDefault="00E374BA">
      <w:pPr>
        <w:spacing w:line="480" w:lineRule="auto"/>
        <w:jc w:val="left"/>
        <w:rPr>
          <w:rFonts w:eastAsiaTheme="minorEastAsia"/>
        </w:rPr>
      </w:pPr>
    </w:p>
    <w:p w14:paraId="3FD29408" w14:textId="77777777" w:rsidR="00684F8F" w:rsidRDefault="00000000">
      <w:pPr>
        <w:spacing w:line="480" w:lineRule="auto"/>
        <w:jc w:val="left"/>
      </w:pPr>
      <w:r>
        <w:t>SPP1 showed stronger spatial autocorrelation (Moran's I = 0.712), but its interpretation differed from the C1Q program. Spatial C1Q scores correlated positively with CD68 (rho = 0.384), CD163 (rho = 0.543), macrophage-marker score (rho=0.589), T-cell score (rho=0.313) and immune score (rho=0.623), but negatively with SPP1 (rho=-0.178) and tumor score (rho=-0.366). C1Q hotspots showed higher neighboring CD68, CD163, T-cell and immune scores, whereas SPP1 hotspots showed lower neighboring T-cell score and weak overlap with C1Q hotspots (Jaccard index=0.130). We therefore used SPP1 as a biologically distinct comparator axis rather than as a competing finding: SPP1 marked a more strongly clustered adverse myeloid/stromal-rich context, whereas C1Q marked a macrophage-associated immune organization (S5, S6 and S7 Figs; S3, S4 and S6 Tables).</w:t>
      </w:r>
    </w:p>
    <w:p w14:paraId="0C85C090" w14:textId="77777777" w:rsidR="00684F8F" w:rsidRDefault="00000000">
      <w:pPr>
        <w:spacing w:line="480" w:lineRule="auto"/>
        <w:jc w:val="left"/>
      </w:pPr>
      <w:r>
        <w:t>C1Q-associated niches and immune neighborhood structure are shown in Fig 4. Scale-dependent C1Q-CD8A neighborhood analyses and candidate-gene spatial-immune comparisons are provided in S3 Fig and S4 Fig.</w:t>
      </w:r>
    </w:p>
    <w:p w14:paraId="02391CFF" w14:textId="77777777" w:rsidR="00E374BA" w:rsidRDefault="00E374BA">
      <w:pPr>
        <w:spacing w:line="480" w:lineRule="auto"/>
        <w:jc w:val="left"/>
        <w:rPr>
          <w:rFonts w:eastAsiaTheme="minorEastAsia"/>
        </w:rPr>
      </w:pPr>
      <w:r>
        <w:rPr>
          <w:noProof/>
        </w:rPr>
        <w:lastRenderedPageBreak/>
        <w:drawing>
          <wp:inline distT="0" distB="0" distL="0" distR="0" wp14:anchorId="30EB88C5" wp14:editId="4A7DE2C2">
            <wp:extent cx="6190615" cy="4033520"/>
            <wp:effectExtent l="0" t="0" r="635" b="5080"/>
            <wp:docPr id="7694770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7014" name="图片 7694770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0615" cy="4033520"/>
                    </a:xfrm>
                    <a:prstGeom prst="rect">
                      <a:avLst/>
                    </a:prstGeom>
                  </pic:spPr>
                </pic:pic>
              </a:graphicData>
            </a:graphic>
          </wp:inline>
        </w:drawing>
      </w:r>
    </w:p>
    <w:p w14:paraId="641A1D74" w14:textId="77777777" w:rsidR="00E374BA" w:rsidRPr="00E374BA" w:rsidRDefault="00E374BA" w:rsidP="00E374BA">
      <w:pPr>
        <w:spacing w:line="480" w:lineRule="auto"/>
        <w:jc w:val="left"/>
        <w:rPr>
          <w:rFonts w:eastAsiaTheme="minorEastAsia"/>
          <w:b/>
          <w:bCs/>
          <w:sz w:val="21"/>
          <w:szCs w:val="21"/>
        </w:rPr>
      </w:pPr>
      <w:r w:rsidRPr="00E374BA">
        <w:rPr>
          <w:rFonts w:eastAsiaTheme="minorEastAsia"/>
          <w:b/>
          <w:bCs/>
          <w:sz w:val="21"/>
          <w:szCs w:val="21"/>
        </w:rPr>
        <w:t>Fig 4. Scale-dependent spatial association and neighborhood enrichment of the C1Q-associated macrophage axis.</w:t>
      </w:r>
    </w:p>
    <w:p w14:paraId="58E8DB89" w14:textId="77777777" w:rsidR="00E374BA" w:rsidRDefault="00E374BA" w:rsidP="00E374BA">
      <w:pPr>
        <w:spacing w:line="480" w:lineRule="auto"/>
        <w:jc w:val="left"/>
        <w:rPr>
          <w:rFonts w:eastAsiaTheme="minorEastAsia"/>
          <w:i/>
          <w:iCs/>
          <w:sz w:val="20"/>
          <w:szCs w:val="20"/>
        </w:rPr>
      </w:pPr>
      <w:r w:rsidRPr="00E374BA">
        <w:rPr>
          <w:rFonts w:eastAsiaTheme="minorEastAsia"/>
          <w:i/>
          <w:iCs/>
          <w:sz w:val="20"/>
          <w:szCs w:val="20"/>
        </w:rPr>
        <w:t>(A) Association between the C1Q score and neighboring CD8A signal across increasing neighborhood radii, showing a scale-dependent increase in spatial association. (B) Permutation-based neighborhood enrichment analysis comparing C1Q macrophage–CD8, C1Q macrophage–SPP1, and CD8–SPP1 neighborhood relationships. (C) Correlations between the C1Q score and immune-related markers, with positive correlations for macrophage-lineage markers and CD8A, and a negative correlation for SPP1. (D) Separation metrics comparing C1Q-SPP1 Jaccard overlap, absolute C1Q-SPP1 correlation, and absolute C1Q-tumor correlation. Together, these analyses suggest that the C1Q-associated macrophage signal is more closely aligned with macrophage and CD8 immune context than with SPP1-dominant or tumor-associated spatial patterns.</w:t>
      </w:r>
    </w:p>
    <w:p w14:paraId="783AF2EE" w14:textId="77777777" w:rsidR="00E374BA" w:rsidRPr="00E374BA" w:rsidRDefault="00E374BA" w:rsidP="00E374BA">
      <w:pPr>
        <w:spacing w:line="480" w:lineRule="auto"/>
        <w:jc w:val="left"/>
        <w:rPr>
          <w:rFonts w:eastAsiaTheme="minorEastAsia"/>
          <w:i/>
          <w:iCs/>
          <w:sz w:val="20"/>
          <w:szCs w:val="20"/>
        </w:rPr>
      </w:pPr>
    </w:p>
    <w:p w14:paraId="08867E57" w14:textId="77777777" w:rsidR="00D34FD0" w:rsidRDefault="00000000">
      <w:pPr>
        <w:spacing w:line="480" w:lineRule="auto"/>
        <w:jc w:val="left"/>
      </w:pPr>
      <w:r>
        <w:t>Public protein-level resources provided orthogonal macrophage-context support</w:t>
      </w:r>
    </w:p>
    <w:p w14:paraId="2AA9760C" w14:textId="77777777" w:rsidR="00D34FD0" w:rsidRDefault="00000000">
      <w:pPr>
        <w:spacing w:line="480" w:lineRule="auto"/>
        <w:jc w:val="left"/>
      </w:pPr>
      <w:r>
        <w:t xml:space="preserve">C1QA, C1QB and C1QC proteins were detected across CPTAC3 LUAD, CPTAC3 LUSC and Academia Sinica LUAD proteome resources. The public proteomic C1Q score correlated positively with macrophage-state proteins, including APOE (rho=0.52-0.72), CD68 (rho=0.29-0.39), CD163 </w:t>
      </w:r>
      <w:r>
        <w:lastRenderedPageBreak/>
        <w:t>(rho=0.20-0.33) and TREM2 where available (rho=0.19-0.41), but showed weak or negative correlations with SPP1. These protein-level findings provide orthogonal public-resource context and do not substitute for in-house IHC or multiplex imaging.</w:t>
      </w:r>
    </w:p>
    <w:p w14:paraId="422264CE" w14:textId="77777777" w:rsidR="00D34FD0" w:rsidRDefault="00000000">
      <w:pPr>
        <w:spacing w:line="480" w:lineRule="auto"/>
        <w:jc w:val="left"/>
      </w:pPr>
      <w:r>
        <w:t>Public proteomic C1Q-marker correlations and C1Q-versus-SPP1 comparator results are summarized in the Supporting Information, and integrated public-data evidence is summarized in Table 2. Immune-context marker correlations and cell-context correlations are provided in S5 Fig and S4 Table.</w:t>
      </w:r>
    </w:p>
    <w:p w14:paraId="3C820063" w14:textId="77777777" w:rsidR="008E211D" w:rsidRDefault="008E211D" w:rsidP="008E211D">
      <w:pPr>
        <w:spacing w:before="120" w:after="60"/>
      </w:pPr>
      <w:r>
        <w:rPr>
          <w:b/>
          <w:sz w:val="22"/>
        </w:rPr>
        <w:t>Table 2. Integrated evidence supporting the C1Q-associated macrophage axis and comparator markers.</w:t>
      </w:r>
    </w:p>
    <w:tbl>
      <w:tblPr>
        <w:tblW w:w="0" w:type="auto"/>
        <w:tblLook w:val="04A0" w:firstRow="1" w:lastRow="0" w:firstColumn="1" w:lastColumn="0" w:noHBand="0" w:noVBand="1"/>
      </w:tblPr>
      <w:tblGrid>
        <w:gridCol w:w="1558"/>
        <w:gridCol w:w="1458"/>
        <w:gridCol w:w="1330"/>
        <w:gridCol w:w="1331"/>
        <w:gridCol w:w="1351"/>
        <w:gridCol w:w="1363"/>
        <w:gridCol w:w="1358"/>
      </w:tblGrid>
      <w:tr w:rsidR="008E211D" w14:paraId="76287E61" w14:textId="77777777" w:rsidTr="001E235C">
        <w:tc>
          <w:tcPr>
            <w:tcW w:w="1393" w:type="dxa"/>
            <w:tcBorders>
              <w:top w:val="single" w:sz="8" w:space="0" w:color="000000"/>
              <w:left w:val="nil"/>
              <w:bottom w:val="single" w:sz="6" w:space="0" w:color="000000"/>
              <w:right w:val="nil"/>
            </w:tcBorders>
          </w:tcPr>
          <w:p w14:paraId="6255AFBA" w14:textId="77777777" w:rsidR="008E211D" w:rsidRDefault="008E211D" w:rsidP="001E235C">
            <w:pPr>
              <w:spacing w:line="240" w:lineRule="auto"/>
            </w:pPr>
            <w:r>
              <w:rPr>
                <w:b/>
                <w:sz w:val="15"/>
              </w:rPr>
              <w:t>Axis or marker</w:t>
            </w:r>
          </w:p>
        </w:tc>
        <w:tc>
          <w:tcPr>
            <w:tcW w:w="1393" w:type="dxa"/>
            <w:tcBorders>
              <w:top w:val="single" w:sz="8" w:space="0" w:color="000000"/>
              <w:left w:val="nil"/>
              <w:bottom w:val="single" w:sz="6" w:space="0" w:color="000000"/>
              <w:right w:val="nil"/>
            </w:tcBorders>
          </w:tcPr>
          <w:p w14:paraId="0C4363A4" w14:textId="77777777" w:rsidR="008E211D" w:rsidRDefault="008E211D" w:rsidP="001E235C">
            <w:pPr>
              <w:spacing w:line="240" w:lineRule="auto"/>
            </w:pPr>
            <w:r>
              <w:rPr>
                <w:b/>
                <w:sz w:val="15"/>
              </w:rPr>
              <w:t>Spatial organization</w:t>
            </w:r>
          </w:p>
        </w:tc>
        <w:tc>
          <w:tcPr>
            <w:tcW w:w="1393" w:type="dxa"/>
            <w:tcBorders>
              <w:top w:val="single" w:sz="8" w:space="0" w:color="000000"/>
              <w:left w:val="nil"/>
              <w:bottom w:val="single" w:sz="6" w:space="0" w:color="000000"/>
              <w:right w:val="nil"/>
            </w:tcBorders>
          </w:tcPr>
          <w:p w14:paraId="105241BB" w14:textId="77777777" w:rsidR="008E211D" w:rsidRDefault="008E211D" w:rsidP="001E235C">
            <w:pPr>
              <w:spacing w:line="240" w:lineRule="auto"/>
            </w:pPr>
            <w:r>
              <w:rPr>
                <w:b/>
                <w:sz w:val="15"/>
              </w:rPr>
              <w:t>Immune-context direction</w:t>
            </w:r>
          </w:p>
        </w:tc>
        <w:tc>
          <w:tcPr>
            <w:tcW w:w="1393" w:type="dxa"/>
            <w:tcBorders>
              <w:top w:val="single" w:sz="8" w:space="0" w:color="000000"/>
              <w:left w:val="nil"/>
              <w:bottom w:val="single" w:sz="6" w:space="0" w:color="000000"/>
              <w:right w:val="nil"/>
            </w:tcBorders>
          </w:tcPr>
          <w:p w14:paraId="3EB04A6C" w14:textId="77777777" w:rsidR="008E211D" w:rsidRDefault="008E211D" w:rsidP="001E235C">
            <w:pPr>
              <w:spacing w:line="240" w:lineRule="auto"/>
            </w:pPr>
            <w:r>
              <w:rPr>
                <w:b/>
                <w:sz w:val="15"/>
              </w:rPr>
              <w:t>Protein-level context</w:t>
            </w:r>
          </w:p>
        </w:tc>
        <w:tc>
          <w:tcPr>
            <w:tcW w:w="1393" w:type="dxa"/>
            <w:tcBorders>
              <w:top w:val="single" w:sz="8" w:space="0" w:color="000000"/>
              <w:left w:val="nil"/>
              <w:bottom w:val="single" w:sz="6" w:space="0" w:color="000000"/>
              <w:right w:val="nil"/>
            </w:tcBorders>
          </w:tcPr>
          <w:p w14:paraId="0C23E083" w14:textId="77777777" w:rsidR="008E211D" w:rsidRDefault="008E211D" w:rsidP="001E235C">
            <w:pPr>
              <w:spacing w:line="240" w:lineRule="auto"/>
            </w:pPr>
            <w:r>
              <w:rPr>
                <w:b/>
                <w:sz w:val="15"/>
              </w:rPr>
              <w:t>Survival traceability</w:t>
            </w:r>
          </w:p>
        </w:tc>
        <w:tc>
          <w:tcPr>
            <w:tcW w:w="1393" w:type="dxa"/>
            <w:tcBorders>
              <w:top w:val="single" w:sz="8" w:space="0" w:color="000000"/>
              <w:left w:val="nil"/>
              <w:bottom w:val="single" w:sz="6" w:space="0" w:color="000000"/>
              <w:right w:val="nil"/>
            </w:tcBorders>
          </w:tcPr>
          <w:p w14:paraId="5768BBCF" w14:textId="77777777" w:rsidR="008E211D" w:rsidRDefault="008E211D" w:rsidP="001E235C">
            <w:pPr>
              <w:spacing w:line="240" w:lineRule="auto"/>
            </w:pPr>
            <w:r>
              <w:rPr>
                <w:b/>
                <w:sz w:val="15"/>
              </w:rPr>
              <w:t>Comparator interpretation</w:t>
            </w:r>
          </w:p>
        </w:tc>
        <w:tc>
          <w:tcPr>
            <w:tcW w:w="1393" w:type="dxa"/>
            <w:tcBorders>
              <w:top w:val="single" w:sz="8" w:space="0" w:color="000000"/>
              <w:left w:val="nil"/>
              <w:bottom w:val="single" w:sz="6" w:space="0" w:color="000000"/>
              <w:right w:val="nil"/>
            </w:tcBorders>
          </w:tcPr>
          <w:p w14:paraId="67F9D335" w14:textId="77777777" w:rsidR="008E211D" w:rsidRDefault="008E211D" w:rsidP="001E235C">
            <w:pPr>
              <w:spacing w:line="240" w:lineRule="auto"/>
            </w:pPr>
            <w:r>
              <w:rPr>
                <w:b/>
                <w:sz w:val="15"/>
              </w:rPr>
              <w:t>Use in this study</w:t>
            </w:r>
          </w:p>
        </w:tc>
      </w:tr>
      <w:tr w:rsidR="008E211D" w14:paraId="01C38824" w14:textId="77777777" w:rsidTr="001E235C">
        <w:tc>
          <w:tcPr>
            <w:tcW w:w="1393" w:type="dxa"/>
            <w:tcBorders>
              <w:top w:val="nil"/>
              <w:left w:val="nil"/>
              <w:bottom w:val="nil"/>
              <w:right w:val="nil"/>
            </w:tcBorders>
          </w:tcPr>
          <w:p w14:paraId="0A853F2F" w14:textId="77777777" w:rsidR="008E211D" w:rsidRDefault="008E211D" w:rsidP="001E235C">
            <w:pPr>
              <w:spacing w:line="240" w:lineRule="auto"/>
            </w:pPr>
            <w:r>
              <w:rPr>
                <w:sz w:val="15"/>
              </w:rPr>
              <w:t>C1Q axis (C1QA/C1QB/C1QC)</w:t>
            </w:r>
          </w:p>
        </w:tc>
        <w:tc>
          <w:tcPr>
            <w:tcW w:w="1393" w:type="dxa"/>
            <w:tcBorders>
              <w:top w:val="nil"/>
              <w:left w:val="nil"/>
              <w:bottom w:val="nil"/>
              <w:right w:val="nil"/>
            </w:tcBorders>
          </w:tcPr>
          <w:p w14:paraId="34D5AFF0" w14:textId="77777777" w:rsidR="008E211D" w:rsidRDefault="008E211D" w:rsidP="001E235C">
            <w:pPr>
              <w:spacing w:line="240" w:lineRule="auto"/>
            </w:pPr>
            <w:r>
              <w:rPr>
                <w:sz w:val="15"/>
              </w:rPr>
              <w:t>Moderate dataset-level spatial autocorrelation (Moran's I 0.386/0.381/0.377)</w:t>
            </w:r>
          </w:p>
        </w:tc>
        <w:tc>
          <w:tcPr>
            <w:tcW w:w="1393" w:type="dxa"/>
            <w:tcBorders>
              <w:top w:val="nil"/>
              <w:left w:val="nil"/>
              <w:bottom w:val="nil"/>
              <w:right w:val="nil"/>
            </w:tcBorders>
          </w:tcPr>
          <w:p w14:paraId="04CB5711" w14:textId="77777777" w:rsidR="008E211D" w:rsidRDefault="008E211D" w:rsidP="001E235C">
            <w:pPr>
              <w:spacing w:line="240" w:lineRule="auto"/>
            </w:pPr>
            <w:r>
              <w:rPr>
                <w:sz w:val="15"/>
              </w:rPr>
              <w:t>Positive macrophage and immune-context correlations</w:t>
            </w:r>
          </w:p>
        </w:tc>
        <w:tc>
          <w:tcPr>
            <w:tcW w:w="1393" w:type="dxa"/>
            <w:tcBorders>
              <w:top w:val="nil"/>
              <w:left w:val="nil"/>
              <w:bottom w:val="nil"/>
              <w:right w:val="nil"/>
            </w:tcBorders>
          </w:tcPr>
          <w:p w14:paraId="07D7E898" w14:textId="77777777" w:rsidR="008E211D" w:rsidRDefault="008E211D" w:rsidP="001E235C">
            <w:pPr>
              <w:spacing w:line="240" w:lineRule="auto"/>
            </w:pPr>
            <w:r>
              <w:rPr>
                <w:sz w:val="15"/>
              </w:rPr>
              <w:t>Positive public protein correlations with macrophage-state markers</w:t>
            </w:r>
          </w:p>
        </w:tc>
        <w:tc>
          <w:tcPr>
            <w:tcW w:w="1393" w:type="dxa"/>
            <w:tcBorders>
              <w:top w:val="nil"/>
              <w:left w:val="nil"/>
              <w:bottom w:val="nil"/>
              <w:right w:val="nil"/>
            </w:tcBorders>
          </w:tcPr>
          <w:p w14:paraId="0102B24A" w14:textId="77777777" w:rsidR="008E211D" w:rsidRDefault="008E211D" w:rsidP="001E235C">
            <w:pPr>
              <w:spacing w:line="240" w:lineRule="auto"/>
            </w:pPr>
            <w:r>
              <w:rPr>
                <w:sz w:val="15"/>
              </w:rPr>
              <w:t>Traceable but heterogeneous; not a standalone clinical tool</w:t>
            </w:r>
          </w:p>
        </w:tc>
        <w:tc>
          <w:tcPr>
            <w:tcW w:w="1393" w:type="dxa"/>
            <w:tcBorders>
              <w:top w:val="nil"/>
              <w:left w:val="nil"/>
              <w:bottom w:val="nil"/>
              <w:right w:val="nil"/>
            </w:tcBorders>
          </w:tcPr>
          <w:p w14:paraId="5F7E74A8" w14:textId="77777777" w:rsidR="008E211D" w:rsidRDefault="008E211D" w:rsidP="001E235C">
            <w:pPr>
              <w:spacing w:line="240" w:lineRule="auto"/>
            </w:pPr>
            <w:r>
              <w:rPr>
                <w:sz w:val="15"/>
              </w:rPr>
              <w:t>Primary transparent biological axis</w:t>
            </w:r>
          </w:p>
        </w:tc>
        <w:tc>
          <w:tcPr>
            <w:tcW w:w="1393" w:type="dxa"/>
            <w:tcBorders>
              <w:top w:val="nil"/>
              <w:left w:val="nil"/>
              <w:bottom w:val="nil"/>
              <w:right w:val="nil"/>
            </w:tcBorders>
          </w:tcPr>
          <w:p w14:paraId="114E3E95" w14:textId="77777777" w:rsidR="008E211D" w:rsidRDefault="008E211D" w:rsidP="001E235C">
            <w:pPr>
              <w:spacing w:line="240" w:lineRule="auto"/>
            </w:pPr>
            <w:r>
              <w:rPr>
                <w:sz w:val="15"/>
              </w:rPr>
              <w:t>Main biological traceability signal</w:t>
            </w:r>
          </w:p>
        </w:tc>
      </w:tr>
      <w:tr w:rsidR="008E211D" w14:paraId="69894FF0" w14:textId="77777777" w:rsidTr="001E235C">
        <w:tc>
          <w:tcPr>
            <w:tcW w:w="1393" w:type="dxa"/>
            <w:tcBorders>
              <w:top w:val="nil"/>
              <w:left w:val="nil"/>
              <w:bottom w:val="nil"/>
              <w:right w:val="nil"/>
            </w:tcBorders>
          </w:tcPr>
          <w:p w14:paraId="454A6E6C" w14:textId="77777777" w:rsidR="008E211D" w:rsidRDefault="008E211D" w:rsidP="001E235C">
            <w:pPr>
              <w:spacing w:line="240" w:lineRule="auto"/>
            </w:pPr>
            <w:r>
              <w:rPr>
                <w:sz w:val="15"/>
              </w:rPr>
              <w:t>SPP1</w:t>
            </w:r>
          </w:p>
        </w:tc>
        <w:tc>
          <w:tcPr>
            <w:tcW w:w="1393" w:type="dxa"/>
            <w:tcBorders>
              <w:top w:val="nil"/>
              <w:left w:val="nil"/>
              <w:bottom w:val="nil"/>
              <w:right w:val="nil"/>
            </w:tcBorders>
          </w:tcPr>
          <w:p w14:paraId="537AF88E" w14:textId="77777777" w:rsidR="008E211D" w:rsidRDefault="008E211D" w:rsidP="001E235C">
            <w:pPr>
              <w:spacing w:line="240" w:lineRule="auto"/>
            </w:pPr>
            <w:r>
              <w:rPr>
                <w:sz w:val="15"/>
              </w:rPr>
              <w:t>Stronger spatial clustering (Moran's I 0.712)</w:t>
            </w:r>
          </w:p>
        </w:tc>
        <w:tc>
          <w:tcPr>
            <w:tcW w:w="1393" w:type="dxa"/>
            <w:tcBorders>
              <w:top w:val="nil"/>
              <w:left w:val="nil"/>
              <w:bottom w:val="nil"/>
              <w:right w:val="nil"/>
            </w:tcBorders>
          </w:tcPr>
          <w:p w14:paraId="2F9E4FD4" w14:textId="77777777" w:rsidR="008E211D" w:rsidRDefault="008E211D" w:rsidP="001E235C">
            <w:pPr>
              <w:spacing w:line="240" w:lineRule="auto"/>
            </w:pPr>
            <w:r>
              <w:rPr>
                <w:sz w:val="15"/>
              </w:rPr>
              <w:t>Distinct or negative relationship with the C1Q axis</w:t>
            </w:r>
          </w:p>
        </w:tc>
        <w:tc>
          <w:tcPr>
            <w:tcW w:w="1393" w:type="dxa"/>
            <w:tcBorders>
              <w:top w:val="nil"/>
              <w:left w:val="nil"/>
              <w:bottom w:val="nil"/>
              <w:right w:val="nil"/>
            </w:tcBorders>
          </w:tcPr>
          <w:p w14:paraId="67695599" w14:textId="77777777" w:rsidR="008E211D" w:rsidRDefault="008E211D" w:rsidP="001E235C">
            <w:pPr>
              <w:spacing w:line="240" w:lineRule="auto"/>
            </w:pPr>
            <w:r>
              <w:rPr>
                <w:sz w:val="15"/>
              </w:rPr>
              <w:t>Weak or negative correlation with public protein-level C1Q score</w:t>
            </w:r>
          </w:p>
        </w:tc>
        <w:tc>
          <w:tcPr>
            <w:tcW w:w="1393" w:type="dxa"/>
            <w:tcBorders>
              <w:top w:val="nil"/>
              <w:left w:val="nil"/>
              <w:bottom w:val="nil"/>
              <w:right w:val="nil"/>
            </w:tcBorders>
          </w:tcPr>
          <w:p w14:paraId="4F05C9C3" w14:textId="77777777" w:rsidR="008E211D" w:rsidRDefault="008E211D" w:rsidP="001E235C">
            <w:pPr>
              <w:spacing w:line="240" w:lineRule="auto"/>
            </w:pPr>
            <w:r>
              <w:rPr>
                <w:sz w:val="15"/>
              </w:rPr>
              <w:t>Partial and context-dependent</w:t>
            </w:r>
          </w:p>
        </w:tc>
        <w:tc>
          <w:tcPr>
            <w:tcW w:w="1393" w:type="dxa"/>
            <w:tcBorders>
              <w:top w:val="nil"/>
              <w:left w:val="nil"/>
              <w:bottom w:val="nil"/>
              <w:right w:val="nil"/>
            </w:tcBorders>
          </w:tcPr>
          <w:p w14:paraId="2C1A2F5C" w14:textId="77777777" w:rsidR="008E211D" w:rsidRDefault="008E211D" w:rsidP="001E235C">
            <w:pPr>
              <w:spacing w:line="240" w:lineRule="auto"/>
            </w:pPr>
            <w:r>
              <w:rPr>
                <w:sz w:val="15"/>
              </w:rPr>
              <w:t>Spatially strong but biologically distinct myeloid/stromal comparator</w:t>
            </w:r>
          </w:p>
        </w:tc>
        <w:tc>
          <w:tcPr>
            <w:tcW w:w="1393" w:type="dxa"/>
            <w:tcBorders>
              <w:top w:val="nil"/>
              <w:left w:val="nil"/>
              <w:bottom w:val="nil"/>
              <w:right w:val="nil"/>
            </w:tcBorders>
          </w:tcPr>
          <w:p w14:paraId="03979705" w14:textId="77777777" w:rsidR="008E211D" w:rsidRDefault="008E211D" w:rsidP="001E235C">
            <w:pPr>
              <w:spacing w:line="240" w:lineRule="auto"/>
            </w:pPr>
            <w:r>
              <w:rPr>
                <w:sz w:val="15"/>
              </w:rPr>
              <w:t>Comparator axis, not the primary score</w:t>
            </w:r>
          </w:p>
        </w:tc>
      </w:tr>
      <w:tr w:rsidR="008E211D" w14:paraId="1D11082A" w14:textId="77777777" w:rsidTr="001E235C">
        <w:tc>
          <w:tcPr>
            <w:tcW w:w="1393" w:type="dxa"/>
            <w:tcBorders>
              <w:top w:val="nil"/>
              <w:left w:val="nil"/>
              <w:bottom w:val="nil"/>
              <w:right w:val="nil"/>
            </w:tcBorders>
          </w:tcPr>
          <w:p w14:paraId="53CCA212" w14:textId="77777777" w:rsidR="008E211D" w:rsidRDefault="008E211D" w:rsidP="001E235C">
            <w:pPr>
              <w:spacing w:line="240" w:lineRule="auto"/>
            </w:pPr>
            <w:r>
              <w:rPr>
                <w:sz w:val="15"/>
              </w:rPr>
              <w:t>CD68/CD163</w:t>
            </w:r>
          </w:p>
        </w:tc>
        <w:tc>
          <w:tcPr>
            <w:tcW w:w="1393" w:type="dxa"/>
            <w:tcBorders>
              <w:top w:val="nil"/>
              <w:left w:val="nil"/>
              <w:bottom w:val="nil"/>
              <w:right w:val="nil"/>
            </w:tcBorders>
          </w:tcPr>
          <w:p w14:paraId="6C727E5A" w14:textId="77777777" w:rsidR="008E211D" w:rsidRDefault="008E211D" w:rsidP="001E235C">
            <w:pPr>
              <w:spacing w:line="240" w:lineRule="auto"/>
            </w:pPr>
            <w:r>
              <w:rPr>
                <w:sz w:val="15"/>
              </w:rPr>
              <w:t>Marker-level macrophage spatial context</w:t>
            </w:r>
          </w:p>
        </w:tc>
        <w:tc>
          <w:tcPr>
            <w:tcW w:w="1393" w:type="dxa"/>
            <w:tcBorders>
              <w:top w:val="nil"/>
              <w:left w:val="nil"/>
              <w:bottom w:val="nil"/>
              <w:right w:val="nil"/>
            </w:tcBorders>
          </w:tcPr>
          <w:p w14:paraId="7F663F86" w14:textId="77777777" w:rsidR="008E211D" w:rsidRDefault="008E211D" w:rsidP="001E235C">
            <w:pPr>
              <w:spacing w:line="240" w:lineRule="auto"/>
            </w:pPr>
            <w:r>
              <w:rPr>
                <w:sz w:val="15"/>
              </w:rPr>
              <w:t>Positive macrophage-context markers</w:t>
            </w:r>
          </w:p>
        </w:tc>
        <w:tc>
          <w:tcPr>
            <w:tcW w:w="1393" w:type="dxa"/>
            <w:tcBorders>
              <w:top w:val="nil"/>
              <w:left w:val="nil"/>
              <w:bottom w:val="nil"/>
              <w:right w:val="nil"/>
            </w:tcBorders>
          </w:tcPr>
          <w:p w14:paraId="109FE933" w14:textId="77777777" w:rsidR="008E211D" w:rsidRDefault="008E211D" w:rsidP="001E235C">
            <w:pPr>
              <w:spacing w:line="240" w:lineRule="auto"/>
            </w:pPr>
            <w:r>
              <w:rPr>
                <w:sz w:val="15"/>
              </w:rPr>
              <w:t>Positive protein-level macrophage-marker context</w:t>
            </w:r>
          </w:p>
        </w:tc>
        <w:tc>
          <w:tcPr>
            <w:tcW w:w="1393" w:type="dxa"/>
            <w:tcBorders>
              <w:top w:val="nil"/>
              <w:left w:val="nil"/>
              <w:bottom w:val="nil"/>
              <w:right w:val="nil"/>
            </w:tcBorders>
          </w:tcPr>
          <w:p w14:paraId="61C20432" w14:textId="77777777" w:rsidR="008E211D" w:rsidRDefault="008E211D" w:rsidP="001E235C">
            <w:pPr>
              <w:spacing w:line="240" w:lineRule="auto"/>
            </w:pPr>
            <w:r>
              <w:rPr>
                <w:sz w:val="15"/>
              </w:rPr>
              <w:t>Not evaluated as deployable scores</w:t>
            </w:r>
          </w:p>
        </w:tc>
        <w:tc>
          <w:tcPr>
            <w:tcW w:w="1393" w:type="dxa"/>
            <w:tcBorders>
              <w:top w:val="nil"/>
              <w:left w:val="nil"/>
              <w:bottom w:val="nil"/>
              <w:right w:val="nil"/>
            </w:tcBorders>
          </w:tcPr>
          <w:p w14:paraId="6B27D49E" w14:textId="77777777" w:rsidR="008E211D" w:rsidRDefault="008E211D" w:rsidP="001E235C">
            <w:pPr>
              <w:spacing w:line="240" w:lineRule="auto"/>
            </w:pPr>
            <w:r>
              <w:rPr>
                <w:sz w:val="15"/>
              </w:rPr>
              <w:t>Canonical macrophage markers</w:t>
            </w:r>
          </w:p>
        </w:tc>
        <w:tc>
          <w:tcPr>
            <w:tcW w:w="1393" w:type="dxa"/>
            <w:tcBorders>
              <w:top w:val="nil"/>
              <w:left w:val="nil"/>
              <w:bottom w:val="nil"/>
              <w:right w:val="nil"/>
            </w:tcBorders>
          </w:tcPr>
          <w:p w14:paraId="7214A529" w14:textId="77777777" w:rsidR="008E211D" w:rsidRDefault="008E211D" w:rsidP="001E235C">
            <w:pPr>
              <w:spacing w:line="240" w:lineRule="auto"/>
            </w:pPr>
            <w:r>
              <w:rPr>
                <w:sz w:val="15"/>
              </w:rPr>
              <w:t>Contextual macrophage support</w:t>
            </w:r>
          </w:p>
        </w:tc>
      </w:tr>
      <w:tr w:rsidR="008E211D" w14:paraId="6DB078AC" w14:textId="77777777" w:rsidTr="001E235C">
        <w:tc>
          <w:tcPr>
            <w:tcW w:w="1393" w:type="dxa"/>
            <w:tcBorders>
              <w:top w:val="nil"/>
              <w:left w:val="nil"/>
              <w:bottom w:val="nil"/>
              <w:right w:val="nil"/>
            </w:tcBorders>
          </w:tcPr>
          <w:p w14:paraId="3172E6E2" w14:textId="77777777" w:rsidR="008E211D" w:rsidRDefault="008E211D" w:rsidP="001E235C">
            <w:pPr>
              <w:spacing w:line="240" w:lineRule="auto"/>
            </w:pPr>
            <w:r>
              <w:rPr>
                <w:sz w:val="15"/>
              </w:rPr>
              <w:t>Full traceability score</w:t>
            </w:r>
          </w:p>
        </w:tc>
        <w:tc>
          <w:tcPr>
            <w:tcW w:w="1393" w:type="dxa"/>
            <w:tcBorders>
              <w:top w:val="nil"/>
              <w:left w:val="nil"/>
              <w:bottom w:val="nil"/>
              <w:right w:val="nil"/>
            </w:tcBorders>
          </w:tcPr>
          <w:p w14:paraId="20104BB6" w14:textId="77777777" w:rsidR="008E211D" w:rsidRDefault="008E211D" w:rsidP="001E235C">
            <w:pPr>
              <w:spacing w:line="240" w:lineRule="auto"/>
            </w:pPr>
            <w:r>
              <w:rPr>
                <w:sz w:val="15"/>
              </w:rPr>
              <w:t>Derived from C1Q-associated feature context</w:t>
            </w:r>
          </w:p>
        </w:tc>
        <w:tc>
          <w:tcPr>
            <w:tcW w:w="1393" w:type="dxa"/>
            <w:tcBorders>
              <w:top w:val="nil"/>
              <w:left w:val="nil"/>
              <w:bottom w:val="nil"/>
              <w:right w:val="nil"/>
            </w:tcBorders>
          </w:tcPr>
          <w:p w14:paraId="2C355644" w14:textId="77777777" w:rsidR="008E211D" w:rsidRDefault="008E211D" w:rsidP="001E235C">
            <w:pPr>
              <w:spacing w:line="240" w:lineRule="auto"/>
            </w:pPr>
            <w:r>
              <w:rPr>
                <w:sz w:val="15"/>
              </w:rPr>
              <w:t>Captures broader immune-feature behavior</w:t>
            </w:r>
          </w:p>
        </w:tc>
        <w:tc>
          <w:tcPr>
            <w:tcW w:w="1393" w:type="dxa"/>
            <w:tcBorders>
              <w:top w:val="nil"/>
              <w:left w:val="nil"/>
              <w:bottom w:val="nil"/>
              <w:right w:val="nil"/>
            </w:tcBorders>
          </w:tcPr>
          <w:p w14:paraId="153B3DAE" w14:textId="77777777" w:rsidR="008E211D" w:rsidRDefault="008E211D" w:rsidP="001E235C">
            <w:pPr>
              <w:spacing w:line="240" w:lineRule="auto"/>
            </w:pPr>
            <w:r>
              <w:rPr>
                <w:sz w:val="15"/>
              </w:rPr>
              <w:t>Not treated as a protein-level score</w:t>
            </w:r>
          </w:p>
        </w:tc>
        <w:tc>
          <w:tcPr>
            <w:tcW w:w="1393" w:type="dxa"/>
            <w:tcBorders>
              <w:top w:val="nil"/>
              <w:left w:val="nil"/>
              <w:bottom w:val="nil"/>
              <w:right w:val="nil"/>
            </w:tcBorders>
          </w:tcPr>
          <w:p w14:paraId="1CBA00EC" w14:textId="77777777" w:rsidR="008E211D" w:rsidRDefault="008E211D" w:rsidP="001E235C">
            <w:pPr>
              <w:spacing w:line="240" w:lineRule="auto"/>
            </w:pPr>
            <w:r>
              <w:rPr>
                <w:sz w:val="15"/>
              </w:rPr>
              <w:t>TCGA AUC 0.781; C-index 0.591; HR 1.56 (1.33-1.84)</w:t>
            </w:r>
          </w:p>
        </w:tc>
        <w:tc>
          <w:tcPr>
            <w:tcW w:w="1393" w:type="dxa"/>
            <w:tcBorders>
              <w:top w:val="nil"/>
              <w:left w:val="nil"/>
              <w:bottom w:val="nil"/>
              <w:right w:val="nil"/>
            </w:tcBorders>
          </w:tcPr>
          <w:p w14:paraId="26C226DE" w14:textId="77777777" w:rsidR="008E211D" w:rsidRDefault="008E211D" w:rsidP="001E235C">
            <w:pPr>
              <w:spacing w:line="240" w:lineRule="auto"/>
            </w:pPr>
            <w:r>
              <w:rPr>
                <w:sz w:val="15"/>
              </w:rPr>
              <w:t>Secondary model-behavior summary</w:t>
            </w:r>
          </w:p>
        </w:tc>
        <w:tc>
          <w:tcPr>
            <w:tcW w:w="1393" w:type="dxa"/>
            <w:tcBorders>
              <w:top w:val="nil"/>
              <w:left w:val="nil"/>
              <w:bottom w:val="nil"/>
              <w:right w:val="nil"/>
            </w:tcBorders>
          </w:tcPr>
          <w:p w14:paraId="0159D0EB" w14:textId="77777777" w:rsidR="008E211D" w:rsidRDefault="008E211D" w:rsidP="001E235C">
            <w:pPr>
              <w:spacing w:line="240" w:lineRule="auto"/>
            </w:pPr>
            <w:r>
              <w:rPr>
                <w:sz w:val="15"/>
              </w:rPr>
              <w:t>Model characterization only; not clinical deployment</w:t>
            </w:r>
          </w:p>
        </w:tc>
      </w:tr>
      <w:tr w:rsidR="008E211D" w14:paraId="112A6EB4" w14:textId="77777777" w:rsidTr="001E235C">
        <w:tc>
          <w:tcPr>
            <w:tcW w:w="1393" w:type="dxa"/>
            <w:tcBorders>
              <w:top w:val="nil"/>
              <w:left w:val="nil"/>
              <w:bottom w:val="single" w:sz="8" w:space="0" w:color="000000"/>
              <w:right w:val="nil"/>
            </w:tcBorders>
          </w:tcPr>
          <w:p w14:paraId="26124C42" w14:textId="77777777" w:rsidR="008E211D" w:rsidRDefault="008E211D" w:rsidP="001E235C">
            <w:pPr>
              <w:spacing w:line="240" w:lineRule="auto"/>
            </w:pPr>
            <w:r>
              <w:rPr>
                <w:sz w:val="15"/>
              </w:rPr>
              <w:t>Transparent C1Q-only score</w:t>
            </w:r>
          </w:p>
        </w:tc>
        <w:tc>
          <w:tcPr>
            <w:tcW w:w="1393" w:type="dxa"/>
            <w:tcBorders>
              <w:top w:val="nil"/>
              <w:left w:val="nil"/>
              <w:bottom w:val="single" w:sz="8" w:space="0" w:color="000000"/>
              <w:right w:val="nil"/>
            </w:tcBorders>
          </w:tcPr>
          <w:p w14:paraId="2704430A" w14:textId="77777777" w:rsidR="008E211D" w:rsidRDefault="008E211D" w:rsidP="001E235C">
            <w:pPr>
              <w:spacing w:line="240" w:lineRule="auto"/>
            </w:pPr>
            <w:r>
              <w:rPr>
                <w:sz w:val="15"/>
              </w:rPr>
              <w:t>Directly anchored to C1QA/C1QB/C1QC</w:t>
            </w:r>
          </w:p>
        </w:tc>
        <w:tc>
          <w:tcPr>
            <w:tcW w:w="1393" w:type="dxa"/>
            <w:tcBorders>
              <w:top w:val="nil"/>
              <w:left w:val="nil"/>
              <w:bottom w:val="single" w:sz="8" w:space="0" w:color="000000"/>
              <w:right w:val="nil"/>
            </w:tcBorders>
          </w:tcPr>
          <w:p w14:paraId="698C9FE9" w14:textId="77777777" w:rsidR="008E211D" w:rsidRDefault="008E211D" w:rsidP="001E235C">
            <w:pPr>
              <w:spacing w:line="240" w:lineRule="auto"/>
            </w:pPr>
            <w:r>
              <w:rPr>
                <w:sz w:val="15"/>
              </w:rPr>
              <w:t>Biologically interpretable but clinically modest</w:t>
            </w:r>
          </w:p>
        </w:tc>
        <w:tc>
          <w:tcPr>
            <w:tcW w:w="1393" w:type="dxa"/>
            <w:tcBorders>
              <w:top w:val="nil"/>
              <w:left w:val="nil"/>
              <w:bottom w:val="single" w:sz="8" w:space="0" w:color="000000"/>
              <w:right w:val="nil"/>
            </w:tcBorders>
          </w:tcPr>
          <w:p w14:paraId="52DFA036" w14:textId="77777777" w:rsidR="008E211D" w:rsidRDefault="008E211D" w:rsidP="001E235C">
            <w:pPr>
              <w:spacing w:line="240" w:lineRule="auto"/>
            </w:pPr>
            <w:r>
              <w:rPr>
                <w:sz w:val="15"/>
              </w:rPr>
              <w:t>Orthogonal support from public proteomic resources</w:t>
            </w:r>
          </w:p>
        </w:tc>
        <w:tc>
          <w:tcPr>
            <w:tcW w:w="1393" w:type="dxa"/>
            <w:tcBorders>
              <w:top w:val="nil"/>
              <w:left w:val="nil"/>
              <w:bottom w:val="single" w:sz="8" w:space="0" w:color="000000"/>
              <w:right w:val="nil"/>
            </w:tcBorders>
          </w:tcPr>
          <w:p w14:paraId="6812070A" w14:textId="77777777" w:rsidR="008E211D" w:rsidRDefault="008E211D" w:rsidP="001E235C">
            <w:pPr>
              <w:spacing w:line="240" w:lineRule="auto"/>
            </w:pPr>
            <w:r>
              <w:rPr>
                <w:sz w:val="15"/>
              </w:rPr>
              <w:t>TCGA adjusted HR 1.07 (0.97-1.18); seven-GEO HR 1.06 (0.95-1.18)</w:t>
            </w:r>
          </w:p>
        </w:tc>
        <w:tc>
          <w:tcPr>
            <w:tcW w:w="1393" w:type="dxa"/>
            <w:tcBorders>
              <w:top w:val="nil"/>
              <w:left w:val="nil"/>
              <w:bottom w:val="single" w:sz="8" w:space="0" w:color="000000"/>
              <w:right w:val="nil"/>
            </w:tcBorders>
          </w:tcPr>
          <w:p w14:paraId="16A4F928" w14:textId="77777777" w:rsidR="008E211D" w:rsidRDefault="008E211D" w:rsidP="001E235C">
            <w:pPr>
              <w:spacing w:line="240" w:lineRule="auto"/>
            </w:pPr>
            <w:r>
              <w:rPr>
                <w:sz w:val="15"/>
              </w:rPr>
              <w:t>Simplified primary biological score</w:t>
            </w:r>
          </w:p>
        </w:tc>
        <w:tc>
          <w:tcPr>
            <w:tcW w:w="1393" w:type="dxa"/>
            <w:tcBorders>
              <w:top w:val="nil"/>
              <w:left w:val="nil"/>
              <w:bottom w:val="single" w:sz="8" w:space="0" w:color="000000"/>
              <w:right w:val="nil"/>
            </w:tcBorders>
          </w:tcPr>
          <w:p w14:paraId="51F723EF" w14:textId="77777777" w:rsidR="008E211D" w:rsidRDefault="008E211D" w:rsidP="001E235C">
            <w:pPr>
              <w:spacing w:line="240" w:lineRule="auto"/>
            </w:pPr>
            <w:r>
              <w:rPr>
                <w:sz w:val="15"/>
              </w:rPr>
              <w:t>Preferred interpretable traceability measure</w:t>
            </w:r>
          </w:p>
        </w:tc>
      </w:tr>
    </w:tbl>
    <w:p w14:paraId="23E5B1EE" w14:textId="77777777" w:rsidR="008E211D" w:rsidRDefault="008E211D" w:rsidP="008E211D">
      <w:pPr>
        <w:spacing w:before="40"/>
      </w:pPr>
      <w:r>
        <w:rPr>
          <w:i/>
          <w:sz w:val="18"/>
        </w:rPr>
        <w:t>Note: Evidence domains summarize spatial organization, immune-context direction, protein-level context, survival traceability, and comparator interpretation across public datasets. The table is intended as a descriptive evidence-convergence matrix and should not be interpreted as a formal weighted scoring system or experimental validation.</w:t>
      </w:r>
    </w:p>
    <w:p w14:paraId="3DE7B654" w14:textId="77777777" w:rsidR="00684F8F" w:rsidRDefault="00000000">
      <w:pPr>
        <w:spacing w:line="480" w:lineRule="auto"/>
        <w:jc w:val="left"/>
      </w:pPr>
      <w:r>
        <w:rPr>
          <w:b/>
        </w:rPr>
        <w:t>Computational attenuation supported internal consistency of the C1Q axis</w:t>
      </w:r>
    </w:p>
    <w:p w14:paraId="7D4A7733" w14:textId="77777777" w:rsidR="00684F8F" w:rsidRDefault="00000000">
      <w:pPr>
        <w:spacing w:line="480" w:lineRule="auto"/>
        <w:jc w:val="left"/>
      </w:pPr>
      <w:r>
        <w:t>Computational attenuation of the C1Q axis altered spatial and risk-associated readouts in a dose-dependent direction. At higher attenuation levels, spatial organization weakened and risk-related scores shifted, supporting the interpretation that C1Q is embedded within the modeled immune spatial program (S6 and S7 Figs; S5 and S6 Tables). These analyses provide internal consistency evidence and should not be interpreted as experimental confirmation.</w:t>
      </w:r>
    </w:p>
    <w:p w14:paraId="2CCBD2B2" w14:textId="77777777" w:rsidR="00684F8F" w:rsidRDefault="00000000">
      <w:pPr>
        <w:spacing w:line="480" w:lineRule="auto"/>
        <w:jc w:val="left"/>
      </w:pPr>
      <w:r>
        <w:t>Computational attenuation results are shown in S6 Fig, S7 Fig and S5 Table.</w:t>
      </w:r>
    </w:p>
    <w:p w14:paraId="225EB12F" w14:textId="77777777" w:rsidR="00684F8F" w:rsidRDefault="00000000">
      <w:pPr>
        <w:spacing w:line="480" w:lineRule="auto"/>
        <w:jc w:val="left"/>
      </w:pPr>
      <w:r>
        <w:t>The transparent C1Q-only score was survival-traceable but heterogeneous across cohorts</w:t>
      </w:r>
    </w:p>
    <w:p w14:paraId="25C02C98" w14:textId="77777777" w:rsidR="00684F8F" w:rsidRDefault="00000000">
      <w:pPr>
        <w:spacing w:line="480" w:lineRule="auto"/>
        <w:jc w:val="left"/>
      </w:pPr>
      <w:r>
        <w:lastRenderedPageBreak/>
        <w:t>The fuller C1Q-associated traceability score achieved an AUC of 0.781, accuracy of 0.725, F1 score of 0.715, C-index of 0.591, and HR of 1.56 (95% CI 1.33-1.84, P &lt; 0.001) in the TCGA training framework. However, the transparent C1Q-only score did not show robust standalone prognostic performance in TCGA. High versus low C1Q-only score was not significantly associated with overall survival in TCGA-LUAD (HR=1.04, 95% CI 0.78-1.38; P=0.811), TCGA-LUSC (HR=1.10, 95% CI 0.84-1.44; P=0.503), or combined TCGA-NSCLC (HR=1.07, 95% CI 0.88-1.30; P=0.503). After adjustment for age, sex, stage and histology, the continuous C1Q-only score remained non-significant in TCGA-NSCLC (HR=1.07, 95% CI 0.97-1.18; P=0.189). These results indicate biological traceability but limited individual-level prognostic deployability (S8 Fig; S1 Table).</w:t>
      </w:r>
    </w:p>
    <w:p w14:paraId="587B98DC" w14:textId="77777777" w:rsidR="00684F8F" w:rsidRDefault="00000000">
      <w:pPr>
        <w:spacing w:line="480" w:lineRule="auto"/>
        <w:jc w:val="left"/>
      </w:pPr>
      <w:r>
        <w:t>Survival traceability of the C1Q-associated score is summarized in Table 3, with additional model benchmarking and subgroup analyses in S8 Fig.</w:t>
      </w:r>
    </w:p>
    <w:p w14:paraId="18A4215E" w14:textId="77777777" w:rsidR="008E211D" w:rsidRDefault="008E211D" w:rsidP="008E211D">
      <w:pPr>
        <w:spacing w:before="120" w:after="60"/>
      </w:pPr>
      <w:r>
        <w:rPr>
          <w:b/>
          <w:sz w:val="22"/>
        </w:rPr>
        <w:t>Table 3. Survival traceability and robustness of C1Q-associated scores across public datasets.</w:t>
      </w:r>
    </w:p>
    <w:tbl>
      <w:tblPr>
        <w:tblW w:w="0" w:type="auto"/>
        <w:tblLook w:val="04A0" w:firstRow="1" w:lastRow="0" w:firstColumn="1" w:lastColumn="0" w:noHBand="0" w:noVBand="1"/>
      </w:tblPr>
      <w:tblGrid>
        <w:gridCol w:w="1219"/>
        <w:gridCol w:w="1218"/>
        <w:gridCol w:w="1218"/>
        <w:gridCol w:w="1219"/>
        <w:gridCol w:w="1218"/>
        <w:gridCol w:w="1219"/>
        <w:gridCol w:w="1219"/>
        <w:gridCol w:w="1219"/>
      </w:tblGrid>
      <w:tr w:rsidR="008E211D" w14:paraId="64187ACB" w14:textId="77777777" w:rsidTr="001E235C">
        <w:tc>
          <w:tcPr>
            <w:tcW w:w="1219" w:type="dxa"/>
            <w:tcBorders>
              <w:top w:val="single" w:sz="8" w:space="0" w:color="000000"/>
              <w:left w:val="nil"/>
              <w:bottom w:val="single" w:sz="6" w:space="0" w:color="000000"/>
              <w:right w:val="nil"/>
            </w:tcBorders>
          </w:tcPr>
          <w:p w14:paraId="6BA0C6C6" w14:textId="77777777" w:rsidR="008E211D" w:rsidRDefault="008E211D" w:rsidP="001E235C">
            <w:pPr>
              <w:spacing w:line="240" w:lineRule="auto"/>
            </w:pPr>
            <w:r>
              <w:rPr>
                <w:b/>
                <w:sz w:val="15"/>
              </w:rPr>
              <w:t>Analysis</w:t>
            </w:r>
          </w:p>
        </w:tc>
        <w:tc>
          <w:tcPr>
            <w:tcW w:w="1219" w:type="dxa"/>
            <w:tcBorders>
              <w:top w:val="single" w:sz="8" w:space="0" w:color="000000"/>
              <w:left w:val="nil"/>
              <w:bottom w:val="single" w:sz="6" w:space="0" w:color="000000"/>
              <w:right w:val="nil"/>
            </w:tcBorders>
          </w:tcPr>
          <w:p w14:paraId="11F6798B" w14:textId="77777777" w:rsidR="008E211D" w:rsidRDefault="008E211D" w:rsidP="001E235C">
            <w:pPr>
              <w:spacing w:line="240" w:lineRule="auto"/>
            </w:pPr>
            <w:r>
              <w:rPr>
                <w:b/>
                <w:sz w:val="15"/>
              </w:rPr>
              <w:t>N</w:t>
            </w:r>
          </w:p>
        </w:tc>
        <w:tc>
          <w:tcPr>
            <w:tcW w:w="1219" w:type="dxa"/>
            <w:tcBorders>
              <w:top w:val="single" w:sz="8" w:space="0" w:color="000000"/>
              <w:left w:val="nil"/>
              <w:bottom w:val="single" w:sz="6" w:space="0" w:color="000000"/>
              <w:right w:val="nil"/>
            </w:tcBorders>
          </w:tcPr>
          <w:p w14:paraId="37A17448" w14:textId="77777777" w:rsidR="008E211D" w:rsidRDefault="008E211D" w:rsidP="001E235C">
            <w:pPr>
              <w:spacing w:line="240" w:lineRule="auto"/>
            </w:pPr>
            <w:r>
              <w:rPr>
                <w:b/>
                <w:sz w:val="15"/>
              </w:rPr>
              <w:t>AUC</w:t>
            </w:r>
          </w:p>
        </w:tc>
        <w:tc>
          <w:tcPr>
            <w:tcW w:w="1219" w:type="dxa"/>
            <w:tcBorders>
              <w:top w:val="single" w:sz="8" w:space="0" w:color="000000"/>
              <w:left w:val="nil"/>
              <w:bottom w:val="single" w:sz="6" w:space="0" w:color="000000"/>
              <w:right w:val="nil"/>
            </w:tcBorders>
          </w:tcPr>
          <w:p w14:paraId="47F6BD21" w14:textId="77777777" w:rsidR="008E211D" w:rsidRDefault="008E211D" w:rsidP="001E235C">
            <w:pPr>
              <w:spacing w:line="240" w:lineRule="auto"/>
            </w:pPr>
            <w:r>
              <w:rPr>
                <w:b/>
                <w:sz w:val="15"/>
              </w:rPr>
              <w:t>Accuracy</w:t>
            </w:r>
          </w:p>
        </w:tc>
        <w:tc>
          <w:tcPr>
            <w:tcW w:w="1219" w:type="dxa"/>
            <w:tcBorders>
              <w:top w:val="single" w:sz="8" w:space="0" w:color="000000"/>
              <w:left w:val="nil"/>
              <w:bottom w:val="single" w:sz="6" w:space="0" w:color="000000"/>
              <w:right w:val="nil"/>
            </w:tcBorders>
          </w:tcPr>
          <w:p w14:paraId="5FC2860F" w14:textId="77777777" w:rsidR="008E211D" w:rsidRDefault="008E211D" w:rsidP="001E235C">
            <w:pPr>
              <w:spacing w:line="240" w:lineRule="auto"/>
            </w:pPr>
            <w:r>
              <w:rPr>
                <w:b/>
                <w:sz w:val="15"/>
              </w:rPr>
              <w:t>F1 score</w:t>
            </w:r>
          </w:p>
        </w:tc>
        <w:tc>
          <w:tcPr>
            <w:tcW w:w="1219" w:type="dxa"/>
            <w:tcBorders>
              <w:top w:val="single" w:sz="8" w:space="0" w:color="000000"/>
              <w:left w:val="nil"/>
              <w:bottom w:val="single" w:sz="6" w:space="0" w:color="000000"/>
              <w:right w:val="nil"/>
            </w:tcBorders>
          </w:tcPr>
          <w:p w14:paraId="449DDCF1" w14:textId="77777777" w:rsidR="008E211D" w:rsidRDefault="008E211D" w:rsidP="001E235C">
            <w:pPr>
              <w:spacing w:line="240" w:lineRule="auto"/>
            </w:pPr>
            <w:r>
              <w:rPr>
                <w:b/>
                <w:sz w:val="15"/>
              </w:rPr>
              <w:t>C-index</w:t>
            </w:r>
          </w:p>
        </w:tc>
        <w:tc>
          <w:tcPr>
            <w:tcW w:w="1219" w:type="dxa"/>
            <w:tcBorders>
              <w:top w:val="single" w:sz="8" w:space="0" w:color="000000"/>
              <w:left w:val="nil"/>
              <w:bottom w:val="single" w:sz="6" w:space="0" w:color="000000"/>
              <w:right w:val="nil"/>
            </w:tcBorders>
          </w:tcPr>
          <w:p w14:paraId="7731EE2D" w14:textId="77777777" w:rsidR="008E211D" w:rsidRDefault="008E211D" w:rsidP="001E235C">
            <w:pPr>
              <w:spacing w:line="240" w:lineRule="auto"/>
            </w:pPr>
            <w:r>
              <w:rPr>
                <w:b/>
                <w:sz w:val="15"/>
              </w:rPr>
              <w:t>Hazard ratio (HR, 95% CI)</w:t>
            </w:r>
          </w:p>
        </w:tc>
        <w:tc>
          <w:tcPr>
            <w:tcW w:w="1219" w:type="dxa"/>
            <w:tcBorders>
              <w:top w:val="single" w:sz="8" w:space="0" w:color="000000"/>
              <w:left w:val="nil"/>
              <w:bottom w:val="single" w:sz="6" w:space="0" w:color="000000"/>
              <w:right w:val="nil"/>
            </w:tcBorders>
          </w:tcPr>
          <w:p w14:paraId="518B3260" w14:textId="77777777" w:rsidR="008E211D" w:rsidRDefault="008E211D" w:rsidP="001E235C">
            <w:pPr>
              <w:spacing w:line="240" w:lineRule="auto"/>
            </w:pPr>
            <w:r>
              <w:rPr>
                <w:b/>
                <w:sz w:val="15"/>
              </w:rPr>
              <w:t>P-value / heterogeneity</w:t>
            </w:r>
          </w:p>
        </w:tc>
      </w:tr>
      <w:tr w:rsidR="008E211D" w14:paraId="4DD4D3D9" w14:textId="77777777" w:rsidTr="001E235C">
        <w:tc>
          <w:tcPr>
            <w:tcW w:w="1219" w:type="dxa"/>
            <w:tcBorders>
              <w:top w:val="nil"/>
              <w:left w:val="nil"/>
              <w:bottom w:val="nil"/>
              <w:right w:val="nil"/>
            </w:tcBorders>
          </w:tcPr>
          <w:p w14:paraId="1A2BA97F" w14:textId="77777777" w:rsidR="008E211D" w:rsidRDefault="008E211D" w:rsidP="001E235C">
            <w:pPr>
              <w:spacing w:line="240" w:lineRule="auto"/>
            </w:pPr>
            <w:r>
              <w:rPr>
                <w:sz w:val="15"/>
              </w:rPr>
              <w:t>Full traceability score, TCGA nested CV</w:t>
            </w:r>
          </w:p>
        </w:tc>
        <w:tc>
          <w:tcPr>
            <w:tcW w:w="1219" w:type="dxa"/>
            <w:tcBorders>
              <w:top w:val="nil"/>
              <w:left w:val="nil"/>
              <w:bottom w:val="nil"/>
              <w:right w:val="nil"/>
            </w:tcBorders>
          </w:tcPr>
          <w:p w14:paraId="18122842" w14:textId="77777777" w:rsidR="008E211D" w:rsidRDefault="008E211D" w:rsidP="001E235C">
            <w:pPr>
              <w:spacing w:line="240" w:lineRule="auto"/>
            </w:pPr>
            <w:r>
              <w:rPr>
                <w:sz w:val="15"/>
              </w:rPr>
              <w:t>1,008</w:t>
            </w:r>
          </w:p>
        </w:tc>
        <w:tc>
          <w:tcPr>
            <w:tcW w:w="1219" w:type="dxa"/>
            <w:tcBorders>
              <w:top w:val="nil"/>
              <w:left w:val="nil"/>
              <w:bottom w:val="nil"/>
              <w:right w:val="nil"/>
            </w:tcBorders>
          </w:tcPr>
          <w:p w14:paraId="0B9F2B85" w14:textId="77777777" w:rsidR="008E211D" w:rsidRDefault="008E211D" w:rsidP="001E235C">
            <w:pPr>
              <w:spacing w:line="240" w:lineRule="auto"/>
            </w:pPr>
            <w:r>
              <w:rPr>
                <w:sz w:val="15"/>
              </w:rPr>
              <w:t>0.781</w:t>
            </w:r>
          </w:p>
        </w:tc>
        <w:tc>
          <w:tcPr>
            <w:tcW w:w="1219" w:type="dxa"/>
            <w:tcBorders>
              <w:top w:val="nil"/>
              <w:left w:val="nil"/>
              <w:bottom w:val="nil"/>
              <w:right w:val="nil"/>
            </w:tcBorders>
          </w:tcPr>
          <w:p w14:paraId="745541FD" w14:textId="77777777" w:rsidR="008E211D" w:rsidRDefault="008E211D" w:rsidP="001E235C">
            <w:pPr>
              <w:spacing w:line="240" w:lineRule="auto"/>
            </w:pPr>
            <w:r>
              <w:rPr>
                <w:sz w:val="15"/>
              </w:rPr>
              <w:t>0.725</w:t>
            </w:r>
          </w:p>
        </w:tc>
        <w:tc>
          <w:tcPr>
            <w:tcW w:w="1219" w:type="dxa"/>
            <w:tcBorders>
              <w:top w:val="nil"/>
              <w:left w:val="nil"/>
              <w:bottom w:val="nil"/>
              <w:right w:val="nil"/>
            </w:tcBorders>
          </w:tcPr>
          <w:p w14:paraId="05D17B5A" w14:textId="77777777" w:rsidR="008E211D" w:rsidRDefault="008E211D" w:rsidP="001E235C">
            <w:pPr>
              <w:spacing w:line="240" w:lineRule="auto"/>
            </w:pPr>
            <w:r>
              <w:rPr>
                <w:sz w:val="15"/>
              </w:rPr>
              <w:t>0.715</w:t>
            </w:r>
          </w:p>
        </w:tc>
        <w:tc>
          <w:tcPr>
            <w:tcW w:w="1219" w:type="dxa"/>
            <w:tcBorders>
              <w:top w:val="nil"/>
              <w:left w:val="nil"/>
              <w:bottom w:val="nil"/>
              <w:right w:val="nil"/>
            </w:tcBorders>
          </w:tcPr>
          <w:p w14:paraId="5075E9A9" w14:textId="77777777" w:rsidR="008E211D" w:rsidRDefault="008E211D" w:rsidP="001E235C">
            <w:pPr>
              <w:spacing w:line="240" w:lineRule="auto"/>
            </w:pPr>
            <w:r>
              <w:rPr>
                <w:sz w:val="15"/>
              </w:rPr>
              <w:t>0.591</w:t>
            </w:r>
          </w:p>
        </w:tc>
        <w:tc>
          <w:tcPr>
            <w:tcW w:w="1219" w:type="dxa"/>
            <w:tcBorders>
              <w:top w:val="nil"/>
              <w:left w:val="nil"/>
              <w:bottom w:val="nil"/>
              <w:right w:val="nil"/>
            </w:tcBorders>
          </w:tcPr>
          <w:p w14:paraId="5691DA8D" w14:textId="77777777" w:rsidR="008E211D" w:rsidRDefault="008E211D" w:rsidP="001E235C">
            <w:pPr>
              <w:spacing w:line="240" w:lineRule="auto"/>
            </w:pPr>
            <w:r>
              <w:rPr>
                <w:sz w:val="15"/>
              </w:rPr>
              <w:t>1.56 (1.33-1.84)</w:t>
            </w:r>
          </w:p>
        </w:tc>
        <w:tc>
          <w:tcPr>
            <w:tcW w:w="1219" w:type="dxa"/>
            <w:tcBorders>
              <w:top w:val="nil"/>
              <w:left w:val="nil"/>
              <w:bottom w:val="nil"/>
              <w:right w:val="nil"/>
            </w:tcBorders>
          </w:tcPr>
          <w:p w14:paraId="347A2B1D" w14:textId="77777777" w:rsidR="008E211D" w:rsidRDefault="008E211D" w:rsidP="001E235C">
            <w:pPr>
              <w:spacing w:line="240" w:lineRule="auto"/>
            </w:pPr>
            <w:r>
              <w:rPr>
                <w:sz w:val="15"/>
              </w:rPr>
              <w:t>&lt;0.001</w:t>
            </w:r>
          </w:p>
        </w:tc>
      </w:tr>
      <w:tr w:rsidR="008E211D" w14:paraId="466968FB" w14:textId="77777777" w:rsidTr="001E235C">
        <w:tc>
          <w:tcPr>
            <w:tcW w:w="1219" w:type="dxa"/>
            <w:tcBorders>
              <w:top w:val="nil"/>
              <w:left w:val="nil"/>
              <w:bottom w:val="nil"/>
              <w:right w:val="nil"/>
            </w:tcBorders>
          </w:tcPr>
          <w:p w14:paraId="78CFFD47" w14:textId="77777777" w:rsidR="008E211D" w:rsidRDefault="008E211D" w:rsidP="001E235C">
            <w:pPr>
              <w:spacing w:line="240" w:lineRule="auto"/>
            </w:pPr>
            <w:r>
              <w:rPr>
                <w:sz w:val="15"/>
              </w:rPr>
              <w:t>Transparent C1Q-only score, TCGA-NSCLC high vs low</w:t>
            </w:r>
          </w:p>
        </w:tc>
        <w:tc>
          <w:tcPr>
            <w:tcW w:w="1219" w:type="dxa"/>
            <w:tcBorders>
              <w:top w:val="nil"/>
              <w:left w:val="nil"/>
              <w:bottom w:val="nil"/>
              <w:right w:val="nil"/>
            </w:tcBorders>
          </w:tcPr>
          <w:p w14:paraId="5E3477A4" w14:textId="77777777" w:rsidR="008E211D" w:rsidRDefault="008E211D" w:rsidP="001E235C">
            <w:pPr>
              <w:spacing w:line="240" w:lineRule="auto"/>
            </w:pPr>
            <w:r>
              <w:rPr>
                <w:sz w:val="15"/>
              </w:rPr>
              <w:t>1,008</w:t>
            </w:r>
          </w:p>
        </w:tc>
        <w:tc>
          <w:tcPr>
            <w:tcW w:w="1219" w:type="dxa"/>
            <w:tcBorders>
              <w:top w:val="nil"/>
              <w:left w:val="nil"/>
              <w:bottom w:val="nil"/>
              <w:right w:val="nil"/>
            </w:tcBorders>
          </w:tcPr>
          <w:p w14:paraId="1DDEA952"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021260FF"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161FBE94"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5ADEE020"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33490A7C" w14:textId="77777777" w:rsidR="008E211D" w:rsidRDefault="008E211D" w:rsidP="001E235C">
            <w:pPr>
              <w:spacing w:line="240" w:lineRule="auto"/>
            </w:pPr>
            <w:r>
              <w:rPr>
                <w:sz w:val="15"/>
              </w:rPr>
              <w:t>1.07 (0.88-1.30)</w:t>
            </w:r>
          </w:p>
        </w:tc>
        <w:tc>
          <w:tcPr>
            <w:tcW w:w="1219" w:type="dxa"/>
            <w:tcBorders>
              <w:top w:val="nil"/>
              <w:left w:val="nil"/>
              <w:bottom w:val="nil"/>
              <w:right w:val="nil"/>
            </w:tcBorders>
          </w:tcPr>
          <w:p w14:paraId="14240F3E" w14:textId="77777777" w:rsidR="008E211D" w:rsidRDefault="008E211D" w:rsidP="001E235C">
            <w:pPr>
              <w:spacing w:line="240" w:lineRule="auto"/>
            </w:pPr>
            <w:r>
              <w:rPr>
                <w:sz w:val="15"/>
              </w:rPr>
              <w:t>0.503</w:t>
            </w:r>
          </w:p>
        </w:tc>
      </w:tr>
      <w:tr w:rsidR="008E211D" w14:paraId="48D6EAAD" w14:textId="77777777" w:rsidTr="001E235C">
        <w:tc>
          <w:tcPr>
            <w:tcW w:w="1219" w:type="dxa"/>
            <w:tcBorders>
              <w:top w:val="nil"/>
              <w:left w:val="nil"/>
              <w:bottom w:val="nil"/>
              <w:right w:val="nil"/>
            </w:tcBorders>
          </w:tcPr>
          <w:p w14:paraId="54ED4C82" w14:textId="77777777" w:rsidR="008E211D" w:rsidRDefault="008E211D" w:rsidP="001E235C">
            <w:pPr>
              <w:spacing w:line="240" w:lineRule="auto"/>
            </w:pPr>
            <w:r>
              <w:rPr>
                <w:sz w:val="15"/>
              </w:rPr>
              <w:t>Transparent C1Q-only score, TCGA adjusted continuous model</w:t>
            </w:r>
          </w:p>
        </w:tc>
        <w:tc>
          <w:tcPr>
            <w:tcW w:w="1219" w:type="dxa"/>
            <w:tcBorders>
              <w:top w:val="nil"/>
              <w:left w:val="nil"/>
              <w:bottom w:val="nil"/>
              <w:right w:val="nil"/>
            </w:tcBorders>
          </w:tcPr>
          <w:p w14:paraId="2E9D0393" w14:textId="77777777" w:rsidR="008E211D" w:rsidRDefault="008E211D" w:rsidP="001E235C">
            <w:pPr>
              <w:spacing w:line="240" w:lineRule="auto"/>
            </w:pPr>
            <w:r>
              <w:rPr>
                <w:sz w:val="15"/>
              </w:rPr>
              <w:t>1,008</w:t>
            </w:r>
          </w:p>
        </w:tc>
        <w:tc>
          <w:tcPr>
            <w:tcW w:w="1219" w:type="dxa"/>
            <w:tcBorders>
              <w:top w:val="nil"/>
              <w:left w:val="nil"/>
              <w:bottom w:val="nil"/>
              <w:right w:val="nil"/>
            </w:tcBorders>
          </w:tcPr>
          <w:p w14:paraId="589EEAE7"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63A68B37"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07379B05"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7B42C0B7" w14:textId="77777777" w:rsidR="008E211D" w:rsidRDefault="008E211D" w:rsidP="001E235C">
            <w:pPr>
              <w:spacing w:line="240" w:lineRule="auto"/>
            </w:pPr>
            <w:r>
              <w:rPr>
                <w:sz w:val="15"/>
              </w:rPr>
              <w:t>N/A</w:t>
            </w:r>
          </w:p>
        </w:tc>
        <w:tc>
          <w:tcPr>
            <w:tcW w:w="1219" w:type="dxa"/>
            <w:tcBorders>
              <w:top w:val="nil"/>
              <w:left w:val="nil"/>
              <w:bottom w:val="nil"/>
              <w:right w:val="nil"/>
            </w:tcBorders>
          </w:tcPr>
          <w:p w14:paraId="4AE82BA2" w14:textId="77777777" w:rsidR="008E211D" w:rsidRDefault="008E211D" w:rsidP="001E235C">
            <w:pPr>
              <w:spacing w:line="240" w:lineRule="auto"/>
            </w:pPr>
            <w:r>
              <w:rPr>
                <w:sz w:val="15"/>
              </w:rPr>
              <w:t>1.07 (0.97-1.18)</w:t>
            </w:r>
          </w:p>
        </w:tc>
        <w:tc>
          <w:tcPr>
            <w:tcW w:w="1219" w:type="dxa"/>
            <w:tcBorders>
              <w:top w:val="nil"/>
              <w:left w:val="nil"/>
              <w:bottom w:val="nil"/>
              <w:right w:val="nil"/>
            </w:tcBorders>
          </w:tcPr>
          <w:p w14:paraId="47DEC922" w14:textId="77777777" w:rsidR="008E211D" w:rsidRDefault="008E211D" w:rsidP="001E235C">
            <w:pPr>
              <w:spacing w:line="240" w:lineRule="auto"/>
            </w:pPr>
            <w:r>
              <w:rPr>
                <w:sz w:val="15"/>
              </w:rPr>
              <w:t>0.189</w:t>
            </w:r>
          </w:p>
        </w:tc>
      </w:tr>
      <w:tr w:rsidR="008E211D" w14:paraId="607C3C84" w14:textId="77777777" w:rsidTr="001E235C">
        <w:tc>
          <w:tcPr>
            <w:tcW w:w="1219" w:type="dxa"/>
            <w:tcBorders>
              <w:top w:val="nil"/>
              <w:left w:val="nil"/>
              <w:bottom w:val="single" w:sz="8" w:space="0" w:color="000000"/>
              <w:right w:val="nil"/>
            </w:tcBorders>
          </w:tcPr>
          <w:p w14:paraId="77F5DA11" w14:textId="77777777" w:rsidR="008E211D" w:rsidRDefault="008E211D" w:rsidP="001E235C">
            <w:pPr>
              <w:spacing w:line="240" w:lineRule="auto"/>
            </w:pPr>
            <w:r>
              <w:rPr>
                <w:sz w:val="15"/>
              </w:rPr>
              <w:t>Transparent C1Q-only score, seven-GEO random-effects summary</w:t>
            </w:r>
          </w:p>
        </w:tc>
        <w:tc>
          <w:tcPr>
            <w:tcW w:w="1219" w:type="dxa"/>
            <w:tcBorders>
              <w:top w:val="nil"/>
              <w:left w:val="nil"/>
              <w:bottom w:val="single" w:sz="8" w:space="0" w:color="000000"/>
              <w:right w:val="nil"/>
            </w:tcBorders>
          </w:tcPr>
          <w:p w14:paraId="2DBBBB9B" w14:textId="77777777" w:rsidR="008E211D" w:rsidRDefault="008E211D" w:rsidP="001E235C">
            <w:pPr>
              <w:spacing w:line="240" w:lineRule="auto"/>
            </w:pPr>
            <w:r>
              <w:rPr>
                <w:sz w:val="15"/>
              </w:rPr>
              <w:t>1,814</w:t>
            </w:r>
          </w:p>
        </w:tc>
        <w:tc>
          <w:tcPr>
            <w:tcW w:w="1219" w:type="dxa"/>
            <w:tcBorders>
              <w:top w:val="nil"/>
              <w:left w:val="nil"/>
              <w:bottom w:val="single" w:sz="8" w:space="0" w:color="000000"/>
              <w:right w:val="nil"/>
            </w:tcBorders>
          </w:tcPr>
          <w:p w14:paraId="161905D9" w14:textId="77777777" w:rsidR="008E211D" w:rsidRDefault="008E211D" w:rsidP="001E235C">
            <w:pPr>
              <w:spacing w:line="240" w:lineRule="auto"/>
            </w:pPr>
            <w:r>
              <w:rPr>
                <w:sz w:val="15"/>
              </w:rPr>
              <w:t>N/A</w:t>
            </w:r>
          </w:p>
        </w:tc>
        <w:tc>
          <w:tcPr>
            <w:tcW w:w="1219" w:type="dxa"/>
            <w:tcBorders>
              <w:top w:val="nil"/>
              <w:left w:val="nil"/>
              <w:bottom w:val="single" w:sz="8" w:space="0" w:color="000000"/>
              <w:right w:val="nil"/>
            </w:tcBorders>
          </w:tcPr>
          <w:p w14:paraId="590215D2" w14:textId="77777777" w:rsidR="008E211D" w:rsidRDefault="008E211D" w:rsidP="001E235C">
            <w:pPr>
              <w:spacing w:line="240" w:lineRule="auto"/>
            </w:pPr>
            <w:r>
              <w:rPr>
                <w:sz w:val="15"/>
              </w:rPr>
              <w:t>N/A</w:t>
            </w:r>
          </w:p>
        </w:tc>
        <w:tc>
          <w:tcPr>
            <w:tcW w:w="1219" w:type="dxa"/>
            <w:tcBorders>
              <w:top w:val="nil"/>
              <w:left w:val="nil"/>
              <w:bottom w:val="single" w:sz="8" w:space="0" w:color="000000"/>
              <w:right w:val="nil"/>
            </w:tcBorders>
          </w:tcPr>
          <w:p w14:paraId="400BF7C6" w14:textId="77777777" w:rsidR="008E211D" w:rsidRDefault="008E211D" w:rsidP="001E235C">
            <w:pPr>
              <w:spacing w:line="240" w:lineRule="auto"/>
            </w:pPr>
            <w:r>
              <w:rPr>
                <w:sz w:val="15"/>
              </w:rPr>
              <w:t>N/A</w:t>
            </w:r>
          </w:p>
        </w:tc>
        <w:tc>
          <w:tcPr>
            <w:tcW w:w="1219" w:type="dxa"/>
            <w:tcBorders>
              <w:top w:val="nil"/>
              <w:left w:val="nil"/>
              <w:bottom w:val="single" w:sz="8" w:space="0" w:color="000000"/>
              <w:right w:val="nil"/>
            </w:tcBorders>
          </w:tcPr>
          <w:p w14:paraId="262D42A5" w14:textId="77777777" w:rsidR="008E211D" w:rsidRDefault="008E211D" w:rsidP="001E235C">
            <w:pPr>
              <w:spacing w:line="240" w:lineRule="auto"/>
            </w:pPr>
            <w:r>
              <w:rPr>
                <w:sz w:val="15"/>
              </w:rPr>
              <w:t>N/A</w:t>
            </w:r>
          </w:p>
        </w:tc>
        <w:tc>
          <w:tcPr>
            <w:tcW w:w="1219" w:type="dxa"/>
            <w:tcBorders>
              <w:top w:val="nil"/>
              <w:left w:val="nil"/>
              <w:bottom w:val="single" w:sz="8" w:space="0" w:color="000000"/>
              <w:right w:val="nil"/>
            </w:tcBorders>
          </w:tcPr>
          <w:p w14:paraId="31627402" w14:textId="77777777" w:rsidR="008E211D" w:rsidRDefault="008E211D" w:rsidP="001E235C">
            <w:pPr>
              <w:spacing w:line="240" w:lineRule="auto"/>
            </w:pPr>
            <w:r>
              <w:rPr>
                <w:sz w:val="15"/>
              </w:rPr>
              <w:t>1.06 (0.95-1.18)</w:t>
            </w:r>
          </w:p>
        </w:tc>
        <w:tc>
          <w:tcPr>
            <w:tcW w:w="1219" w:type="dxa"/>
            <w:tcBorders>
              <w:top w:val="nil"/>
              <w:left w:val="nil"/>
              <w:bottom w:val="single" w:sz="8" w:space="0" w:color="000000"/>
              <w:right w:val="nil"/>
            </w:tcBorders>
          </w:tcPr>
          <w:p w14:paraId="29092FD1" w14:textId="77777777" w:rsidR="008E211D" w:rsidRDefault="008E211D" w:rsidP="001E235C">
            <w:pPr>
              <w:spacing w:line="240" w:lineRule="auto"/>
            </w:pPr>
            <w:r>
              <w:rPr>
                <w:sz w:val="15"/>
              </w:rPr>
            </w:r>
            <w:r w:rsidRPr="006F62C4">
              <w:rPr>
                <w:sz w:val="15"/>
                <w:vertAlign w:val="superscript"/>
              </w:rPr>
            </w:r>
            <w:r>
              <w:rPr>
                <w:sz w:val="15"/>
              </w:rPr>
            </w:r>
            <w:r>
              <w:t>I² = 55.9%</w:t>
            </w:r>
          </w:p>
        </w:tc>
      </w:tr>
    </w:tbl>
    <w:p w14:paraId="192A7AC2" w14:textId="77777777" w:rsidR="008E211D" w:rsidRDefault="008E211D" w:rsidP="008E211D">
      <w:pPr>
        <w:spacing w:before="40"/>
      </w:pPr>
      <w:r>
        <w:rPr>
          <w:i/>
          <w:sz w:val="18"/>
        </w:rPr>
        <w:t>Note: The full traceability score and the transparent C1Q-only score address different analytical questions. The full traceability score summarizes broader model behavior, whereas the transparent C1Q-only score is directly anchored to C1QA, C1QB, and C1QC expression. These results should be interpreted as public-dataset traceability analyses and not as evidence of a clinically deployable individual-level prognostic model.</w:t>
      </w:r>
    </w:p>
    <w:p w14:paraId="0DB4200C" w14:textId="77777777" w:rsidR="00684F8F" w:rsidRDefault="00000000">
      <w:pPr>
        <w:spacing w:line="480" w:lineRule="auto"/>
        <w:jc w:val="left"/>
      </w:pPr>
      <w:r>
        <w:t>Accordingly, the score is best positioned as a biologically anchored measure used to test whether the C1Q macrophage spatial program remains survival-traceable in bulk clinical cohorts.</w:t>
      </w:r>
    </w:p>
    <w:p w14:paraId="523E2F58" w14:textId="77777777" w:rsidR="00684F8F" w:rsidRDefault="00000000">
      <w:pPr>
        <w:spacing w:line="480" w:lineRule="auto"/>
        <w:jc w:val="left"/>
      </w:pPr>
      <w:r>
        <w:t>Cohort-level survival traceability and model behavior are shown in Fig 5.</w:t>
      </w:r>
    </w:p>
    <w:p w14:paraId="36AB2BA5" w14:textId="77777777" w:rsidR="00E374BA" w:rsidRDefault="00E374BA">
      <w:pPr>
        <w:spacing w:line="480" w:lineRule="auto"/>
        <w:jc w:val="left"/>
        <w:rPr>
          <w:rFonts w:eastAsiaTheme="minorEastAsia"/>
        </w:rPr>
      </w:pPr>
      <w:r>
        <w:rPr>
          <w:noProof/>
        </w:rPr>
        <w:lastRenderedPageBreak/>
        <w:drawing>
          <wp:inline distT="0" distB="0" distL="0" distR="0" wp14:anchorId="1EE210C8" wp14:editId="23C7FE92">
            <wp:extent cx="6190615" cy="3928745"/>
            <wp:effectExtent l="0" t="0" r="635" b="0"/>
            <wp:docPr id="20488148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4801" name="图片 20488148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0615" cy="3928745"/>
                    </a:xfrm>
                    <a:prstGeom prst="rect">
                      <a:avLst/>
                    </a:prstGeom>
                  </pic:spPr>
                </pic:pic>
              </a:graphicData>
            </a:graphic>
          </wp:inline>
        </w:drawing>
      </w:r>
    </w:p>
    <w:p w14:paraId="5FB62943" w14:textId="77777777" w:rsidR="00E374BA" w:rsidRPr="00E374BA" w:rsidRDefault="00E374BA" w:rsidP="00E374BA">
      <w:pPr>
        <w:spacing w:line="480" w:lineRule="auto"/>
        <w:jc w:val="left"/>
        <w:rPr>
          <w:rFonts w:eastAsiaTheme="minorEastAsia"/>
          <w:b/>
          <w:bCs/>
          <w:sz w:val="21"/>
          <w:szCs w:val="21"/>
        </w:rPr>
      </w:pPr>
      <w:r w:rsidRPr="00E374BA">
        <w:rPr>
          <w:rFonts w:eastAsiaTheme="minorEastAsia"/>
          <w:b/>
          <w:bCs/>
          <w:sz w:val="21"/>
          <w:szCs w:val="21"/>
        </w:rPr>
        <w:t xml:space="preserve">Fig 5. </w:t>
      </w:r>
      <w:r w:rsidR="00BB4309" w:rsidRPr="00BB4309">
        <w:rPr>
          <w:rFonts w:eastAsiaTheme="minorEastAsia"/>
          <w:b/>
          <w:bCs/>
          <w:sz w:val="21"/>
          <w:szCs w:val="21"/>
        </w:rPr>
        <w:t>Survival traceability and model behavior of C1Q-associated scores in public NSCLC cohorts.</w:t>
      </w:r>
    </w:p>
    <w:p w14:paraId="6A59E4C0" w14:textId="77777777" w:rsidR="00E374BA" w:rsidRDefault="00E374BA" w:rsidP="00E374BA">
      <w:pPr>
        <w:spacing w:line="480" w:lineRule="auto"/>
        <w:jc w:val="left"/>
        <w:rPr>
          <w:rFonts w:eastAsiaTheme="minorEastAsia"/>
          <w:i/>
          <w:iCs/>
          <w:sz w:val="20"/>
          <w:szCs w:val="20"/>
        </w:rPr>
      </w:pPr>
      <w:r w:rsidRPr="00E374BA">
        <w:rPr>
          <w:rFonts w:eastAsiaTheme="minorEastAsia"/>
          <w:i/>
          <w:iCs/>
          <w:sz w:val="20"/>
          <w:szCs w:val="20"/>
        </w:rPr>
        <w:t xml:space="preserve">(A) Performance of the TCGA-based model, including AUC, C-index, accuracy, and F1 score. (B) Hazard ratio estimates comparing the full traceability score, C1Q-only TCGA score, adjusted C1Q-only TCGA score, and external GEO-based C1Q-only score. (C) Sensitivity analysis of C1Q-only score hazard ratio estimates across TCGA adjusted analysis, external pooled analysis, and fixed-cutoff analysis. (D) Kaplan–Meier survival curves comparing high-risk and low-risk groups. </w:t>
      </w:r>
      <w:r w:rsidR="00BB4309" w:rsidRPr="00BB4309">
        <w:rPr>
          <w:rFonts w:eastAsiaTheme="minorEastAsia"/>
          <w:i/>
          <w:iCs/>
          <w:sz w:val="20"/>
          <w:szCs w:val="20"/>
        </w:rPr>
        <w:t>These analyses indicate that the C1Q-associated score showed measurable but heterogeneous survival traceability, supporting cautious interpretation rather than clinical translation.</w:t>
      </w:r>
    </w:p>
    <w:p w14:paraId="15A98BCB" w14:textId="77777777" w:rsidR="00E374BA" w:rsidRPr="00E374BA" w:rsidRDefault="00E374BA" w:rsidP="00E374BA">
      <w:pPr>
        <w:spacing w:line="480" w:lineRule="auto"/>
        <w:jc w:val="left"/>
        <w:rPr>
          <w:rFonts w:eastAsiaTheme="minorEastAsia"/>
          <w:i/>
          <w:iCs/>
          <w:sz w:val="22"/>
          <w:szCs w:val="22"/>
        </w:rPr>
      </w:pPr>
    </w:p>
    <w:p w14:paraId="2464AFC2" w14:textId="77777777" w:rsidR="00684F8F" w:rsidRDefault="00000000">
      <w:pPr>
        <w:spacing w:line="480" w:lineRule="auto"/>
        <w:jc w:val="left"/>
      </w:pPr>
      <w:r>
        <w:t>Cross-cohort survival traceability across seven GEO cohorts was modest and heterogeneous</w:t>
      </w:r>
    </w:p>
    <w:p w14:paraId="45B7641E" w14:textId="77777777" w:rsidR="00684F8F" w:rsidRDefault="00000000">
      <w:pPr>
        <w:spacing w:line="480" w:lineRule="auto"/>
        <w:jc w:val="left"/>
      </w:pPr>
      <w:r>
        <w:t>Across seven external GEO cohorts, the transparent C1Q-only score showed heterogeneous survival associations. The random-effects summary HR was 1.06 (95% CI 0.95-1.18; I² = 55.9%), indicating modest and statistically uncertain cross-cohort survival traceability rather than a stable standalone prognostic marker. Adjusted cohort-specific Cox estimates and platform/cutoff sensitivity analyses are provided in the supplementary source tables. These findings support group-level survival traceability but argue against clinical deployment of C1Q alone (S7 Table and S1 File).</w:t>
      </w:r>
    </w:p>
    <w:p w14:paraId="2788A70B" w14:textId="77777777" w:rsidR="00684F8F" w:rsidRDefault="00000000">
      <w:pPr>
        <w:spacing w:line="480" w:lineRule="auto"/>
        <w:jc w:val="left"/>
      </w:pPr>
      <w:r>
        <w:lastRenderedPageBreak/>
        <w:t>Exploratory immunotherapy-associated datasets showed discriminatory trends, with AUC values ranging from approximately 0.76 to 0.81. Because these cohorts differed in treatment context, endpoint definition and sample size, these findings should be interpreted only as exploratory associations with immune contexture rather than treatment-response validation (S9 Fig; S7 Table and S10 Table).</w:t>
      </w:r>
    </w:p>
    <w:p w14:paraId="407D2A29" w14:textId="77777777" w:rsidR="00684F8F" w:rsidRDefault="00000000">
      <w:pPr>
        <w:spacing w:line="480" w:lineRule="auto"/>
        <w:jc w:val="left"/>
      </w:pPr>
      <w:r>
        <w:t>Cross-cohort survival traceability across seven GEO cohorts is shown in Fig 6 and S7 Table. Exploratory immunotherapy-associated immune-context analyses are shown in S9 Fig and S10 Table.</w:t>
      </w:r>
    </w:p>
    <w:p w14:paraId="1CC74695" w14:textId="77777777" w:rsidR="00E374BA" w:rsidRDefault="00E374BA">
      <w:pPr>
        <w:spacing w:line="480" w:lineRule="auto"/>
        <w:jc w:val="left"/>
        <w:rPr>
          <w:rFonts w:eastAsiaTheme="minorEastAsia"/>
          <w:b/>
        </w:rPr>
      </w:pPr>
      <w:r>
        <w:rPr>
          <w:b/>
          <w:noProof/>
        </w:rPr>
        <w:drawing>
          <wp:inline distT="0" distB="0" distL="0" distR="0" wp14:anchorId="4C0F20FA" wp14:editId="70FFE383">
            <wp:extent cx="6190615" cy="3093720"/>
            <wp:effectExtent l="0" t="0" r="635" b="0"/>
            <wp:docPr id="1919396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96705" name="图片 19193967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0615" cy="3093720"/>
                    </a:xfrm>
                    <a:prstGeom prst="rect">
                      <a:avLst/>
                    </a:prstGeom>
                  </pic:spPr>
                </pic:pic>
              </a:graphicData>
            </a:graphic>
          </wp:inline>
        </w:drawing>
      </w:r>
    </w:p>
    <w:p w14:paraId="23EB73E2" w14:textId="77777777" w:rsidR="00E374BA" w:rsidRPr="00E374BA" w:rsidRDefault="00E374BA" w:rsidP="00E374BA">
      <w:pPr>
        <w:spacing w:line="480" w:lineRule="auto"/>
        <w:jc w:val="left"/>
        <w:rPr>
          <w:rFonts w:eastAsiaTheme="minorEastAsia"/>
          <w:b/>
          <w:sz w:val="21"/>
          <w:szCs w:val="21"/>
        </w:rPr>
      </w:pPr>
      <w:r w:rsidRPr="00E374BA">
        <w:rPr>
          <w:rFonts w:eastAsiaTheme="minorEastAsia"/>
          <w:b/>
          <w:sz w:val="21"/>
          <w:szCs w:val="21"/>
        </w:rPr>
        <w:t xml:space="preserve">Fig 6. </w:t>
      </w:r>
      <w:r w:rsidR="005034D8" w:rsidRPr="005034D8">
        <w:rPr>
          <w:rFonts w:eastAsiaTheme="minorEastAsia"/>
          <w:b/>
          <w:sz w:val="21"/>
          <w:szCs w:val="21"/>
        </w:rPr>
        <w:t>Cross-cohort survival traceability of the transparent C1Q-only score.</w:t>
      </w:r>
    </w:p>
    <w:p w14:paraId="1AC96FF5" w14:textId="77777777" w:rsidR="00E374BA" w:rsidRPr="00E374BA" w:rsidRDefault="00E374BA" w:rsidP="00E374BA">
      <w:pPr>
        <w:spacing w:line="480" w:lineRule="auto"/>
        <w:jc w:val="left"/>
        <w:rPr>
          <w:rFonts w:eastAsiaTheme="minorEastAsia"/>
          <w:bCs/>
          <w:i/>
          <w:iCs/>
          <w:sz w:val="20"/>
          <w:szCs w:val="20"/>
        </w:rPr>
      </w:pPr>
      <w:r w:rsidRPr="00E374BA">
        <w:rPr>
          <w:rFonts w:eastAsiaTheme="minorEastAsia"/>
          <w:bCs/>
          <w:i/>
          <w:iCs/>
          <w:sz w:val="20"/>
          <w:szCs w:val="20"/>
        </w:rPr>
        <w:t xml:space="preserve">Forest plot showing cohort-specific and pooled random-effects hazard ratios for the association between a 1-SD higher C1Q score and overall survival across seven GEO cohorts. The included cohorts were GSE30219, GSE37745, GSE42127, GSE50081, GSE68465, GSE72094, and GSE31210. </w:t>
      </w:r>
      <w:r w:rsidR="005034D8" w:rsidRPr="005034D8">
        <w:rPr>
          <w:rFonts w:eastAsiaTheme="minorEastAsia"/>
          <w:bCs/>
          <w:i/>
          <w:iCs/>
          <w:sz w:val="20"/>
          <w:szCs w:val="20"/>
        </w:rPr>
        <w:t>The pooled random-effects estimate was close to the null, with moderate between-cohort heterogeneity, indicating that the C1Q-only score was weakly and heterogeneously traceable across external cohorts.</w:t>
      </w:r>
    </w:p>
    <w:p w14:paraId="3CD8CF17" w14:textId="77777777" w:rsidR="00684F8F" w:rsidRDefault="00000000">
      <w:pPr>
        <w:spacing w:line="480" w:lineRule="auto"/>
        <w:jc w:val="left"/>
      </w:pPr>
      <w:r>
        <w:rPr>
          <w:b/>
        </w:rPr>
        <w:t>Discussion</w:t>
      </w:r>
    </w:p>
    <w:p w14:paraId="648D6AF6" w14:textId="77777777" w:rsidR="00684F8F" w:rsidRDefault="00000000">
      <w:pPr>
        <w:spacing w:line="480" w:lineRule="auto"/>
        <w:jc w:val="left"/>
      </w:pPr>
      <w:r>
        <w:t>Key findings</w:t>
      </w:r>
    </w:p>
    <w:p w14:paraId="204D55C2" w14:textId="77777777" w:rsidR="00684F8F" w:rsidRDefault="00000000">
      <w:pPr>
        <w:spacing w:line="480" w:lineRule="auto"/>
        <w:jc w:val="left"/>
      </w:pPr>
      <w:r>
        <w:t xml:space="preserve">In this retrospective public-data integrative analysis, C1QA, C1QB and C1QC showed convergent </w:t>
      </w:r>
      <w:r>
        <w:lastRenderedPageBreak/>
        <w:t>public-data evidence across spatial organization, public protein-level context, comparator-gene analyses and survival traceability in NSCLC. The main value of this study is not the development of a clinically deployable prognostic model, but the systematic characterization of a C1Q-associated macrophage program using complementary public-data evidence layers.</w:t>
      </w:r>
    </w:p>
    <w:p w14:paraId="51DFA6A7" w14:textId="77777777" w:rsidR="00684F8F" w:rsidRDefault="00000000">
      <w:pPr>
        <w:spacing w:line="480" w:lineRule="auto"/>
        <w:jc w:val="left"/>
      </w:pPr>
      <w:r>
        <w:t>This distinction matters for interpretation. A broad multi-method analysis can easily appear diffuse. Here, the evidence supports a more focused biological model: C1Q-related macrophage signals organize within immune-enriched spatial niches, are detectable at the protein level in public lung cancer proteomes, differ from the SPP1 adverse myeloid comparator axis, and remain weakly traceable in bulk clinical cohorts (Table 2 and S7 Table).</w:t>
      </w:r>
    </w:p>
    <w:p w14:paraId="0C0930D5" w14:textId="77777777" w:rsidR="00684F8F" w:rsidRDefault="00000000">
      <w:pPr>
        <w:spacing w:line="480" w:lineRule="auto"/>
        <w:jc w:val="left"/>
      </w:pPr>
      <w:r>
        <w:rPr>
          <w:b/>
        </w:rPr>
        <w:t>C1Q and SPP1 mark distinct spatial myeloid programs</w:t>
      </w:r>
    </w:p>
    <w:p w14:paraId="57A31EE3" w14:textId="77777777" w:rsidR="00684F8F" w:rsidRDefault="00000000">
      <w:pPr>
        <w:spacing w:line="480" w:lineRule="auto"/>
        <w:jc w:val="left"/>
      </w:pPr>
      <w:r>
        <w:t>The contrast between C1Q and SPP1 helps clarify the spatial biology. SPP1 displayed stronger spatial autocorrelation and more consistent adverse bulk-survival association across external cohorts, consistent with a highly clustered myeloid-rich or stromal-associated suppressive pattern. In contrast, C1Q genes displayed more moderate but reproducible macrophage-associated clustering, positive spatial and proteomic associations with macrophage-state markers, and limited hotspot overlap with SPP1. Thus, the manuscript's central claim is not that C1Q is the strongest prognostic marker or the most spatially clustered gene, but that it marks a distinct macrophage immune-context axis supported across multiple public evidence layers.</w:t>
      </w:r>
    </w:p>
    <w:p w14:paraId="27E4DD8E" w14:textId="77777777" w:rsidR="00684F8F" w:rsidRDefault="00000000">
      <w:pPr>
        <w:spacing w:line="480" w:lineRule="auto"/>
        <w:jc w:val="left"/>
      </w:pPr>
      <w:r>
        <w:t>Translational interpretation</w:t>
      </w:r>
    </w:p>
    <w:p w14:paraId="12146A6E" w14:textId="77777777" w:rsidR="00684F8F" w:rsidRDefault="00000000">
      <w:pPr>
        <w:spacing w:line="480" w:lineRule="auto"/>
        <w:jc w:val="left"/>
      </w:pPr>
      <w:r>
        <w:t xml:space="preserve">The clinical findings should be interpreted conservatively. The fuller traceability model showed moderate discrimination in the TCGA framework, whereas the transparent C1Q-only score showed null or heterogeneous survival associations in TCGA and external cohorts. Calibration, Brier-score and decision-curve analyses were therefore used to characterize model behavior rather than to claim clinical deployment. The value of the score is biological and translational: it shows that the C1Q macrophage spatial program can be traced, albeit imperfectly, in conventional clinical transcriptomic </w:t>
      </w:r>
      <w:r>
        <w:lastRenderedPageBreak/>
        <w:t>cohorts and may reflect clinically meaningful immune organization.</w:t>
      </w:r>
    </w:p>
    <w:p w14:paraId="3443A945" w14:textId="77777777" w:rsidR="00684F8F" w:rsidRDefault="00000000">
      <w:pPr>
        <w:spacing w:line="480" w:lineRule="auto"/>
        <w:jc w:val="left"/>
      </w:pPr>
      <w:r>
        <w:t xml:space="preserve">The immunotherapy-associated analyses should also be interpreted conservatively. </w:t>
      </w:r>
      <w:r w:rsidR="006A3C75" w:rsidRPr="006A3C75">
        <w:t>These exploratory analyses suggest that the C1Q program may vary across response-coded immune-context datasets; standardized prospective immunotherapy cohorts would be required before any treatment-response application could be considered.</w:t>
      </w:r>
    </w:p>
    <w:p w14:paraId="22C19575" w14:textId="77777777" w:rsidR="00684F8F" w:rsidRDefault="00000000">
      <w:pPr>
        <w:spacing w:line="480" w:lineRule="auto"/>
        <w:jc w:val="left"/>
      </w:pPr>
      <w:r>
        <w:rPr>
          <w:b/>
        </w:rPr>
        <w:t>Strengths and limitations</w:t>
      </w:r>
    </w:p>
    <w:p w14:paraId="778F77BA" w14:textId="77777777" w:rsidR="00684F8F" w:rsidRDefault="00000000">
      <w:pPr>
        <w:spacing w:line="480" w:lineRule="auto"/>
        <w:jc w:val="left"/>
      </w:pPr>
      <w:r>
        <w:t>The study has several strengths: integration of spatial transcriptomics, public proteomics, comparator-gene analyses, computational attenuation as an internal consistency check, and multi-cohort survival traceability assessment. The analysis also deliberately frames the model as a biologically anchored score rather than as a clinical decision tool. Its spatial interpretation is consistent with broader work showing that immune landscapes are organized across time, tissue context, and metastatic niches [28].</w:t>
      </w:r>
    </w:p>
    <w:p w14:paraId="55F10CAF" w14:textId="77777777" w:rsidR="00684F8F" w:rsidRDefault="00000000">
      <w:pPr>
        <w:spacing w:line="480" w:lineRule="auto"/>
        <w:jc w:val="left"/>
      </w:pPr>
      <w:r>
        <w:t xml:space="preserve">Several limitations should be acknowledged. First, the study was based entirely on retrospective public datasets and did not include in-house qPCR, IHC, multiplex imaging or experimental confirmation; the findings are therefore hypothesis-generating. Second, spatial transcriptomic resources were limited in sample size, tissue context and platform consistency. Third, public proteomic resources provided orthogonal protein-level context but lacked spatial resolution; bulk protein correlations cannot prove cellular origin and may still reflect sample-composition differences. Fourth, some microarray platforms lacked exact C1QC probes, so the external C1Q-only score was based on available exact probes and may not fully capture the complete C1QA/C1QB/C1QC axis in all cohorts. Fifth, external cohort heterogeneity may reflect differences in LUAD/LUSC composition, stage distribution, microarray platform, endpoint definition, probe availability, treatment annotation and bulk tissue composition. Sixth, the C1Q-associated score showed modest and heterogeneous survival traceability across public cohorts and should not be used for individual-level clinical decision-making. Seventh, immunotherapy-associated cohorts differed in </w:t>
      </w:r>
      <w:r>
        <w:lastRenderedPageBreak/>
        <w:t>treatment context, endpoint coding and sample size and did not support treatment-response application.</w:t>
      </w:r>
    </w:p>
    <w:p w14:paraId="1B8087FE" w14:textId="77777777" w:rsidR="00684F8F" w:rsidRDefault="00000000">
      <w:pPr>
        <w:spacing w:line="480" w:lineRule="auto"/>
        <w:jc w:val="left"/>
      </w:pPr>
      <w:r>
        <w:t>In addition, the immunotherapy-associated analyses should be interpreted as exploratory. Lung cancer tumorigenesis and the tumor microenvironment remain highly heterogeneous [31]. Macrophage states can also vary substantially across metastatic and metabolic contexts [32]. Contemporary PD-L1-selected immunotherapy trials provide important clinical context, but they do not validate the present score as a treatment-response predictor [33]. Finally, NSCLC comprises biologically heterogeneous diseases, so future validation should test the C1Q program across histologic and molecular subgroups [34]. Pan-cancer observations are provided only as brief contextual evidence in the supplementary data and are not used to support the NSCLC-specific conclusion (S10 Fig and S1 File).</w:t>
      </w:r>
    </w:p>
    <w:p w14:paraId="2CEDDCC3" w14:textId="77777777" w:rsidR="00D34FD0" w:rsidRDefault="00000000">
      <w:pPr>
        <w:spacing w:line="480" w:lineRule="auto"/>
        <w:jc w:val="left"/>
      </w:pPr>
      <w:r>
        <w:t>Conclusions</w:t>
      </w:r>
    </w:p>
    <w:p w14:paraId="3C3AF53D" w14:textId="77777777" w:rsidR="00684F8F" w:rsidRDefault="00000000">
      <w:pPr>
        <w:spacing w:line="480" w:lineRule="auto"/>
        <w:jc w:val="left"/>
      </w:pPr>
      <w:r>
        <w:t>C1QA, C1QB, and C1QC may represent a macrophage-associated spatial immune-context program in NSCLC that is supported by convergent public-data evidence and remains traceable across independent transcriptomic, spatial and protein-level resources. The primary implication is biological rather than immediately clinical: C1Q-related macrophage organization may represent a spatially structured immune state distinct from the SPP1 adverse myeloid axis. Future studies should validate this program using prospective spatial cohorts, multiplex imaging, and experimental confirmation of C1Q-positive macrophage states.</w:t>
      </w:r>
    </w:p>
    <w:p w14:paraId="3CDEFB2E" w14:textId="77777777" w:rsidR="00684F8F" w:rsidRDefault="00000000">
      <w:pPr>
        <w:spacing w:line="480" w:lineRule="auto"/>
        <w:jc w:val="left"/>
      </w:pPr>
      <w:r>
        <w:rPr>
          <w:b/>
        </w:rPr>
        <w:t>Declarations</w:t>
      </w:r>
    </w:p>
    <w:p w14:paraId="5156DB44" w14:textId="77777777" w:rsidR="00684F8F" w:rsidRDefault="00000000">
      <w:pPr>
        <w:spacing w:line="480" w:lineRule="auto"/>
        <w:jc w:val="left"/>
      </w:pPr>
      <w:r>
        <w:rPr>
          <w:b/>
        </w:rPr>
        <w:t>Ethics approval and consent to participate</w:t>
      </w:r>
    </w:p>
    <w:p w14:paraId="0C26AB74" w14:textId="77777777" w:rsidR="00684F8F" w:rsidRDefault="00000000">
      <w:pPr>
        <w:spacing w:line="480" w:lineRule="auto"/>
        <w:jc w:val="left"/>
      </w:pPr>
      <w:r>
        <w:t>This study was a retrospective analysis of publicly available, de-identified datasets. No new human participant data were generated, and no individual-level identifiable information was accessed. Therefore, additional institutional review board approval and informed consent were not required.</w:t>
      </w:r>
    </w:p>
    <w:p w14:paraId="428C3C42" w14:textId="77777777" w:rsidR="00684F8F" w:rsidRDefault="00000000">
      <w:pPr>
        <w:spacing w:line="480" w:lineRule="auto"/>
        <w:jc w:val="left"/>
      </w:pPr>
      <w:r>
        <w:rPr>
          <w:b/>
        </w:rPr>
        <w:t>Consent for publication</w:t>
      </w:r>
    </w:p>
    <w:p w14:paraId="18F095E2" w14:textId="77777777" w:rsidR="00684F8F" w:rsidRDefault="00000000">
      <w:pPr>
        <w:spacing w:line="480" w:lineRule="auto"/>
        <w:jc w:val="left"/>
      </w:pPr>
      <w:r>
        <w:lastRenderedPageBreak/>
        <w:t>Not applicable.</w:t>
      </w:r>
    </w:p>
    <w:p w14:paraId="60B2B3C6" w14:textId="77777777" w:rsidR="00684F8F" w:rsidRDefault="00000000">
      <w:pPr>
        <w:spacing w:line="480" w:lineRule="auto"/>
        <w:jc w:val="left"/>
      </w:pPr>
      <w:r>
        <w:rPr>
          <w:b/>
        </w:rPr>
        <w:t>Data Availability Statement</w:t>
      </w:r>
    </w:p>
    <w:p w14:paraId="42A7A75E" w14:textId="77777777" w:rsidR="00684F8F" w:rsidRDefault="00000000">
      <w:pPr>
        <w:spacing w:line="480" w:lineRule="auto"/>
        <w:jc w:val="left"/>
      </w:pPr>
      <w:r>
        <w:t>All datasets analyzed in this study are publicly available. TCGA-LUAD and TCGA-LUSC data were obtained from the Genomic Data Commons portal (https://portal.gdc.cancer.gov). GEO datasets were obtained from the Gene Expression Omnibus (https://www.ncbi.nlm.nih.gov/geo). GTEx and corresponding public spatial transcriptomic resources were used where applicable. Processed analysis tables, figure-source data, cohort-level derived results and analysis scripts needed to reproduce the reported findings are available in the public repository and S1 File and the public repository referenced in the Data Availability and Code Availability materials (https://github.com/morningLxj/spatial-immunotherapy-prediction).</w:t>
      </w:r>
    </w:p>
    <w:p w14:paraId="34CCA554" w14:textId="77777777" w:rsidR="00684F8F" w:rsidRDefault="00000000">
      <w:pPr>
        <w:spacing w:line="480" w:lineRule="auto"/>
        <w:jc w:val="left"/>
      </w:pPr>
      <w:r>
        <w:rPr>
          <w:b/>
        </w:rPr>
        <w:t>Competing interests</w:t>
      </w:r>
    </w:p>
    <w:p w14:paraId="29EF5BBD" w14:textId="77777777" w:rsidR="00684F8F" w:rsidRDefault="00000000">
      <w:pPr>
        <w:spacing w:line="480" w:lineRule="auto"/>
        <w:jc w:val="left"/>
      </w:pPr>
      <w:r>
        <w:t>The authors declare that they have no competing interests.</w:t>
      </w:r>
    </w:p>
    <w:p w14:paraId="5E9F1B6E" w14:textId="77777777" w:rsidR="00684F8F" w:rsidRDefault="00000000">
      <w:pPr>
        <w:spacing w:line="480" w:lineRule="auto"/>
        <w:jc w:val="left"/>
      </w:pPr>
      <w:r>
        <w:rPr>
          <w:b/>
        </w:rPr>
        <w:t>Funding</w:t>
      </w:r>
    </w:p>
    <w:p w14:paraId="18EC2687" w14:textId="77777777" w:rsidR="00684F8F" w:rsidRDefault="00000000">
      <w:pPr>
        <w:spacing w:line="480" w:lineRule="auto"/>
        <w:jc w:val="left"/>
      </w:pPr>
      <w:r>
        <w:t>This research received no specific grant from any funding agency in the public, commercial, or not-for-profit sectors.</w:t>
      </w:r>
    </w:p>
    <w:p w14:paraId="368EBB2C" w14:textId="77777777" w:rsidR="00684F8F" w:rsidRDefault="00000000">
      <w:pPr>
        <w:spacing w:line="480" w:lineRule="auto"/>
        <w:jc w:val="left"/>
      </w:pPr>
      <w:r>
        <w:rPr>
          <w:b/>
        </w:rPr>
        <w:t>Authors' contributions</w:t>
      </w:r>
    </w:p>
    <w:p w14:paraId="1CAF4E52" w14:textId="77777777" w:rsidR="00684F8F" w:rsidRDefault="00000000">
      <w:pPr>
        <w:spacing w:line="480" w:lineRule="auto"/>
        <w:jc w:val="left"/>
      </w:pPr>
      <w:r>
        <w:t>Xiongjie Li conceived and designed the study, performed data analysis, statistical modeling, and bioinformatics analyses, and drafted the manuscript. Fengyue Zhang contributed to study design and manuscript revision. Chaojia Luo and Xuan Xu contributed to data interpretation and critical revision of the manuscript. All authors read and approved the final manuscript.</w:t>
      </w:r>
    </w:p>
    <w:p w14:paraId="0C5C5045" w14:textId="77777777" w:rsidR="00684F8F" w:rsidRDefault="00000000">
      <w:pPr>
        <w:spacing w:line="480" w:lineRule="auto"/>
        <w:jc w:val="left"/>
      </w:pPr>
      <w:r>
        <w:rPr>
          <w:b/>
        </w:rPr>
        <w:t>Acknowledgements</w:t>
      </w:r>
    </w:p>
    <w:p w14:paraId="4C802E8C" w14:textId="77777777" w:rsidR="00684F8F" w:rsidRDefault="00000000">
      <w:pPr>
        <w:spacing w:line="480" w:lineRule="auto"/>
        <w:jc w:val="left"/>
      </w:pPr>
      <w:r>
        <w:t>The authors thank the investigators and participants of TCGA, GEO, GTEx, and the public spatial transcriptomics projects for making their data available.</w:t>
      </w:r>
    </w:p>
    <w:p w14:paraId="6C8695A3" w14:textId="77777777" w:rsidR="00D34FD0" w:rsidRDefault="00000000">
      <w:pPr>
        <w:spacing w:line="480" w:lineRule="auto"/>
        <w:jc w:val="left"/>
      </w:pPr>
      <w:r>
        <w:t>Reporting guidelines</w:t>
      </w:r>
    </w:p>
    <w:p w14:paraId="022773D2" w14:textId="77777777" w:rsidR="00D34FD0" w:rsidRDefault="00000000">
      <w:pPr>
        <w:spacing w:line="480" w:lineRule="auto"/>
        <w:jc w:val="left"/>
      </w:pPr>
      <w:r>
        <w:t xml:space="preserve">The analyses were reported with reference to REMARK principles and relevant TRIPOD items </w:t>
      </w:r>
      <w:r>
        <w:lastRenderedPageBreak/>
        <w:t>where applicable; the score was not presented as a deployable clinical prediction model.</w:t>
      </w:r>
    </w:p>
    <w:p w14:paraId="3E92FE74" w14:textId="77777777" w:rsidR="00684F8F" w:rsidRDefault="00000000">
      <w:pPr>
        <w:spacing w:line="480" w:lineRule="auto"/>
        <w:jc w:val="left"/>
      </w:pPr>
      <w:r>
        <w:rPr>
          <w:b/>
        </w:rPr>
        <w:t>Use of artificial intelligence tools</w:t>
      </w:r>
    </w:p>
    <w:p w14:paraId="283886B4" w14:textId="77777777" w:rsidR="00684F8F" w:rsidRDefault="00000000">
      <w:pPr>
        <w:spacing w:line="480" w:lineRule="auto"/>
        <w:jc w:val="left"/>
      </w:pPr>
      <w:r>
        <w:t>AI-assisted language and formatting tools were used to support language editing, formatting, consistency checking, figure-label cleanup and package organization. No AI tool was used to generate primary data, fabricate results, make final scientific conclusions or approve the manuscript. The authors take full responsibility for the content of the manuscript.</w:t>
      </w:r>
    </w:p>
    <w:p w14:paraId="1B947AB7" w14:textId="77777777" w:rsidR="00684F8F" w:rsidRDefault="00000000">
      <w:pPr>
        <w:spacing w:line="480" w:lineRule="auto"/>
        <w:jc w:val="left"/>
      </w:pPr>
      <w:r>
        <w:rPr>
          <w:b/>
        </w:rPr>
        <w:t>References</w:t>
      </w:r>
    </w:p>
    <w:p w14:paraId="2A34715C" w14:textId="77777777" w:rsidR="00684F8F" w:rsidRDefault="00000000">
      <w:pPr>
        <w:spacing w:line="480" w:lineRule="auto"/>
        <w:jc w:val="left"/>
      </w:pPr>
      <w:r>
        <w:t>1. Sung H, Ferlay J, Siegel RL, et al. Global Cancer Statistics 2020: GLOBOCAN Estimates of Incidence and Mortality Worldwide for 36 Cancers in 185 Countries. CA Cancer J Clin. 2021;71(3):209-249. doi:10.3322/caac.21660</w:t>
      </w:r>
    </w:p>
    <w:p w14:paraId="38ED96B6" w14:textId="77777777" w:rsidR="00684F8F" w:rsidRDefault="00000000">
      <w:pPr>
        <w:spacing w:line="480" w:lineRule="auto"/>
        <w:jc w:val="left"/>
      </w:pPr>
      <w:r>
        <w:t>2. The Cancer Genome Atlas Research Network. Comprehensive genomic characterization of squamous cell lung cancers. Nature. 2012;489(7417):519-525. doi:10.1038/nature11404</w:t>
      </w:r>
    </w:p>
    <w:p w14:paraId="0DBB981D" w14:textId="77777777" w:rsidR="00684F8F" w:rsidRDefault="00000000">
      <w:pPr>
        <w:spacing w:line="480" w:lineRule="auto"/>
        <w:jc w:val="left"/>
      </w:pPr>
      <w:r>
        <w:t>3. Gandhi L, Rodriguez-Abreu D, Gadgeel S, et al. Pembrolizumab plus chemotherapy in metastatic non-small-cell lung cancer. N Engl J Med. 2018;378(22):2078-2092. doi:10.1056/NEJMoa1801005</w:t>
      </w:r>
    </w:p>
    <w:p w14:paraId="70C75BC3" w14:textId="77777777" w:rsidR="00684F8F" w:rsidRDefault="00000000">
      <w:pPr>
        <w:spacing w:line="480" w:lineRule="auto"/>
        <w:jc w:val="left"/>
      </w:pPr>
      <w:r>
        <w:t>4. Hellmann MD, Ciuleanu TE, Pluzanski A, et al. Nivolumab plus ipilimumab in lung cancer with a high tumor mutational burden. N Engl J Med. 2018;378(22):2093-2104. doi:10.1056/NEJMoa1801946</w:t>
      </w:r>
    </w:p>
    <w:p w14:paraId="2B182FC4" w14:textId="77777777" w:rsidR="00684F8F" w:rsidRDefault="00000000">
      <w:pPr>
        <w:spacing w:line="480" w:lineRule="auto"/>
        <w:jc w:val="left"/>
      </w:pPr>
      <w:r>
        <w:t>5. Reck M, Rodriguez-Abreu D, Robinson AG, et al. Pembrolizumab versus chemotherapy for PD-L1-positive non-small-cell lung cancer. N Engl J Med. 2016;375(19):1823-1833. doi:10.1056/NEJMoa1606774</w:t>
      </w:r>
    </w:p>
    <w:p w14:paraId="59ED49A5" w14:textId="77777777" w:rsidR="00684F8F" w:rsidRDefault="00000000">
      <w:pPr>
        <w:spacing w:line="480" w:lineRule="auto"/>
        <w:jc w:val="left"/>
      </w:pPr>
      <w:r>
        <w:t>6. Topalian SL, Taube JM, Anders RA, Pardoll DM. Mechanism-driven biomarkers to guide immune checkpoint blockade in cancer therapy. Nat Rev Cancer. 2016;16(5):275-287. doi:10.1038/nrc.2016.36</w:t>
      </w:r>
    </w:p>
    <w:p w14:paraId="7F2F17CE" w14:textId="77777777" w:rsidR="00684F8F" w:rsidRDefault="00000000">
      <w:pPr>
        <w:spacing w:line="480" w:lineRule="auto"/>
        <w:jc w:val="left"/>
      </w:pPr>
      <w:r>
        <w:t xml:space="preserve">7. Marabelle A, Fakih M, Lopez J, et al. Association of tumour mutational burden with outcomes in patients with advanced solid tumors treated with pembrolizumab: prospective biomarker analysis of </w:t>
      </w:r>
      <w:r>
        <w:lastRenderedPageBreak/>
        <w:t>the multicohort, open-label, phase 2 KEYNOTE-158 study. Lancet Oncol. 2020;21(10):1353-1365. doi:10.1016/S1470-2045(20)30445-9</w:t>
      </w:r>
    </w:p>
    <w:p w14:paraId="4CB12402" w14:textId="77777777" w:rsidR="00684F8F" w:rsidRDefault="00000000">
      <w:pPr>
        <w:spacing w:line="480" w:lineRule="auto"/>
        <w:jc w:val="left"/>
      </w:pPr>
      <w:r>
        <w:t>8. Marx V. Method of the year: Spatially resolved transcriptomics. Nat Methods. 2021;18(1):9-14. doi:10.1038/s41592-020-01033-y</w:t>
      </w:r>
    </w:p>
    <w:p w14:paraId="42BF4967" w14:textId="77777777" w:rsidR="00684F8F" w:rsidRDefault="00000000">
      <w:pPr>
        <w:spacing w:line="480" w:lineRule="auto"/>
        <w:jc w:val="left"/>
      </w:pPr>
      <w:r>
        <w:t>9. Zhang H, Hong L, Dong Z, et al. Spatially resolved C1QC+ macrophage-CD4+ T cell niche in colorectal cancer microenvironment: Implications for immunotherapy response. Cell Discov. 2025;11(1):60. doi:10.1038/s41421-025-00811-2</w:t>
      </w:r>
    </w:p>
    <w:p w14:paraId="3F6FC4BE" w14:textId="77777777" w:rsidR="00684F8F" w:rsidRDefault="00000000">
      <w:pPr>
        <w:spacing w:line="480" w:lineRule="auto"/>
        <w:jc w:val="left"/>
      </w:pPr>
      <w:r>
        <w:t>10. Stahl PL, Salmen F, Vickovic S, et al. Visualization and analysis of gene expression in tissue sections by spatial transcriptomics. Science. 2016;353(6294):78-82. doi:10.1126/</w:t>
      </w:r>
      <w:proofErr w:type="gramStart"/>
      <w:r>
        <w:t>science.aaf</w:t>
      </w:r>
      <w:proofErr w:type="gramEnd"/>
      <w:r>
        <w:t>2403</w:t>
      </w:r>
    </w:p>
    <w:p w14:paraId="3DDB7C13" w14:textId="77777777" w:rsidR="00684F8F" w:rsidRDefault="00000000">
      <w:pPr>
        <w:spacing w:line="480" w:lineRule="auto"/>
        <w:jc w:val="left"/>
      </w:pPr>
      <w:r>
        <w:t xml:space="preserve">11. Li Q, Zhang X, Ke R. Spatial transcriptomics for tumor heterogeneity analysis. Front Genet. </w:t>
      </w:r>
      <w:proofErr w:type="gramStart"/>
      <w:r>
        <w:t>2022;13:906158</w:t>
      </w:r>
      <w:proofErr w:type="gramEnd"/>
      <w:r>
        <w:t>. doi:10.3389/fgene.2022.906158</w:t>
      </w:r>
    </w:p>
    <w:p w14:paraId="2833B095" w14:textId="77777777" w:rsidR="00684F8F" w:rsidRDefault="00000000">
      <w:pPr>
        <w:spacing w:line="480" w:lineRule="auto"/>
        <w:jc w:val="left"/>
      </w:pPr>
      <w:r>
        <w:t xml:space="preserve">12. Jerby-Arnon L, Shah P, Cuoco MS, et al. A cancer cell program promotes T cell exclusion and resistance to checkpoint blockade. Cell. 2018;175(4):984-997.e24. </w:t>
      </w:r>
      <w:proofErr w:type="gramStart"/>
      <w:r>
        <w:t>doi:10.1016/j.cell</w:t>
      </w:r>
      <w:proofErr w:type="gramEnd"/>
      <w:r>
        <w:t>.2018.09.006</w:t>
      </w:r>
    </w:p>
    <w:p w14:paraId="620A0923" w14:textId="77777777" w:rsidR="00684F8F" w:rsidRDefault="00000000">
      <w:pPr>
        <w:spacing w:line="480" w:lineRule="auto"/>
        <w:jc w:val="left"/>
      </w:pPr>
      <w:r>
        <w:t xml:space="preserve">13. Zilionis R, Engblom C, Pfirschke C, et al. Single-cell transcriptomics of human and mouse lung cancers reveals conserved myeloid populations across individuals and species. Immunity. 2019;50(5):1317-1334.e10. </w:t>
      </w:r>
      <w:proofErr w:type="gramStart"/>
      <w:r>
        <w:t>doi:10.1016/j.immuni</w:t>
      </w:r>
      <w:proofErr w:type="gramEnd"/>
      <w:r>
        <w:t>.2019.03.009</w:t>
      </w:r>
    </w:p>
    <w:p w14:paraId="360D68B8" w14:textId="77777777" w:rsidR="00684F8F" w:rsidRDefault="00000000">
      <w:pPr>
        <w:spacing w:line="480" w:lineRule="auto"/>
        <w:jc w:val="left"/>
      </w:pPr>
      <w:r>
        <w:t xml:space="preserve">14. Laumont CM, Nelson BH. B cells in the tumor microenvironment: </w:t>
      </w:r>
      <w:proofErr w:type="gramStart"/>
      <w:r>
        <w:t>Multi-faceted</w:t>
      </w:r>
      <w:proofErr w:type="gramEnd"/>
      <w:r>
        <w:t xml:space="preserve"> organizers, regulators, and effectors of anti-tumor immunity. Cancer Cell. 2023;41(3):466-489. </w:t>
      </w:r>
      <w:proofErr w:type="gramStart"/>
      <w:r>
        <w:t>doi:10.1016/j.ccell</w:t>
      </w:r>
      <w:proofErr w:type="gramEnd"/>
      <w:r>
        <w:t>.2023.02.017</w:t>
      </w:r>
    </w:p>
    <w:p w14:paraId="3B772EFD" w14:textId="77777777" w:rsidR="00684F8F" w:rsidRDefault="00000000">
      <w:pPr>
        <w:spacing w:line="480" w:lineRule="auto"/>
        <w:jc w:val="left"/>
      </w:pPr>
      <w:r>
        <w:t>15. Pal P, Wahi P, Sahu A, Lal G. Pro- and anti-inflammatory role of complement in cancer. Eur J Immunol. 2025;55(6</w:t>
      </w:r>
      <w:proofErr w:type="gramStart"/>
      <w:r>
        <w:t>):e</w:t>
      </w:r>
      <w:proofErr w:type="gramEnd"/>
      <w:r>
        <w:t>51767. doi:10.1002/eji.202451767</w:t>
      </w:r>
    </w:p>
    <w:p w14:paraId="66527913" w14:textId="77777777" w:rsidR="00684F8F" w:rsidRDefault="00000000">
      <w:pPr>
        <w:spacing w:line="480" w:lineRule="auto"/>
        <w:jc w:val="left"/>
      </w:pPr>
      <w:r>
        <w:t xml:space="preserve">16. Revel M, Merle NS. Local and cell-intrinsic complement: The new player in cancer progression. Semin Immunol. </w:t>
      </w:r>
      <w:proofErr w:type="gramStart"/>
      <w:r>
        <w:t>2025;79:101976</w:t>
      </w:r>
      <w:proofErr w:type="gramEnd"/>
      <w:r>
        <w:t xml:space="preserve">. </w:t>
      </w:r>
      <w:proofErr w:type="gramStart"/>
      <w:r>
        <w:t>doi:10.1016/j.smim</w:t>
      </w:r>
      <w:proofErr w:type="gramEnd"/>
      <w:r>
        <w:t>.2025.101976</w:t>
      </w:r>
    </w:p>
    <w:p w14:paraId="04FBAD97" w14:textId="77777777" w:rsidR="00684F8F" w:rsidRDefault="00000000">
      <w:pPr>
        <w:spacing w:line="480" w:lineRule="auto"/>
        <w:jc w:val="left"/>
      </w:pPr>
      <w:r>
        <w:t>17. Shah HK, Prem S, Wu X, et al. Complement system in cancer: Friend or foe of immunotherapy. J Immunother Cancer. 2026;14(3</w:t>
      </w:r>
      <w:proofErr w:type="gramStart"/>
      <w:r>
        <w:t>):e</w:t>
      </w:r>
      <w:proofErr w:type="gramEnd"/>
      <w:r>
        <w:t>013290. doi:10.1136/jitc-2025-013290</w:t>
      </w:r>
    </w:p>
    <w:p w14:paraId="463F2B9C" w14:textId="77777777" w:rsidR="00684F8F" w:rsidRDefault="00000000">
      <w:pPr>
        <w:spacing w:line="480" w:lineRule="auto"/>
        <w:jc w:val="left"/>
      </w:pPr>
      <w:r>
        <w:lastRenderedPageBreak/>
        <w:t xml:space="preserve">18. Ravi VM, Will P, Kueckelhaus J, et al. Spatially resolved multi-omics deciphers bidirectional tumor-host interdependence in glioblastoma. Cancer Cell. 2022;40(6):639-655.e13. </w:t>
      </w:r>
      <w:proofErr w:type="gramStart"/>
      <w:r>
        <w:t>doi:10.1016/j.ccell</w:t>
      </w:r>
      <w:proofErr w:type="gramEnd"/>
      <w:r>
        <w:t>.2022.05.009</w:t>
      </w:r>
    </w:p>
    <w:p w14:paraId="0078CA88" w14:textId="77777777" w:rsidR="00684F8F" w:rsidRDefault="00000000">
      <w:pPr>
        <w:spacing w:line="480" w:lineRule="auto"/>
        <w:jc w:val="left"/>
      </w:pPr>
      <w:r>
        <w:t xml:space="preserve">19. Pedregosa F, Varoquaux G, Gramfort A, et al. Scikit-learn: Machine learning in Python. J Mach Learn Res. </w:t>
      </w:r>
      <w:proofErr w:type="gramStart"/>
      <w:r>
        <w:t>2011;12:2825</w:t>
      </w:r>
      <w:proofErr w:type="gramEnd"/>
      <w:r>
        <w:t>-2830.</w:t>
      </w:r>
    </w:p>
    <w:p w14:paraId="34FE6221" w14:textId="77777777" w:rsidR="00684F8F" w:rsidRDefault="00000000">
      <w:pPr>
        <w:spacing w:line="480" w:lineRule="auto"/>
        <w:jc w:val="left"/>
      </w:pPr>
      <w:r>
        <w:t xml:space="preserve">20. Sammut SJ, Crispin-Ortuzar M, Chin SF, et al. </w:t>
      </w:r>
      <w:proofErr w:type="gramStart"/>
      <w:r>
        <w:t>Multi-omic</w:t>
      </w:r>
      <w:proofErr w:type="gramEnd"/>
      <w:r>
        <w:t xml:space="preserve"> machine learning predictor of breast cancer therapy response. Nature. 2022;601(7894):623-629. doi:10.1038/s41586-021-04278-5</w:t>
      </w:r>
    </w:p>
    <w:p w14:paraId="1E07519A" w14:textId="77777777" w:rsidR="00684F8F" w:rsidRDefault="00000000">
      <w:pPr>
        <w:spacing w:line="480" w:lineRule="auto"/>
        <w:jc w:val="left"/>
      </w:pPr>
      <w:r>
        <w:t>21. Tibshirani R. Regression shrinkage and selection via the lasso. J R Stat Soc Series B Methodol. 1996;58(1):267-288. doi:10.1111/j.2517-</w:t>
      </w:r>
      <w:proofErr w:type="gramStart"/>
      <w:r>
        <w:t>6161.1996.tb</w:t>
      </w:r>
      <w:proofErr w:type="gramEnd"/>
      <w:r>
        <w:t>02080.x</w:t>
      </w:r>
    </w:p>
    <w:p w14:paraId="19D2361C" w14:textId="77777777" w:rsidR="00684F8F" w:rsidRDefault="00000000">
      <w:pPr>
        <w:spacing w:line="480" w:lineRule="auto"/>
        <w:jc w:val="left"/>
      </w:pPr>
      <w:r>
        <w:t>22. Dries R, Zhu Q, Dong R, et al. Giotto: A toolbox for integrative analysis and visualization of spatial expression data. Genome Biol. 2021;22(1):78. doi:10.1186/s13059-021-02286-2</w:t>
      </w:r>
    </w:p>
    <w:p w14:paraId="307291FF" w14:textId="77777777" w:rsidR="00684F8F" w:rsidRDefault="00000000">
      <w:pPr>
        <w:spacing w:line="480" w:lineRule="auto"/>
        <w:jc w:val="left"/>
      </w:pPr>
      <w:r>
        <w:t>23. Anselin L. Local indicators of spatial association-LISA. Geogr Anal. 1995;27(2):93-115. doi:10.1111/j.1538-</w:t>
      </w:r>
      <w:proofErr w:type="gramStart"/>
      <w:r>
        <w:t>4632.1995.tb</w:t>
      </w:r>
      <w:proofErr w:type="gramEnd"/>
      <w:r>
        <w:t>00338.x</w:t>
      </w:r>
    </w:p>
    <w:p w14:paraId="3657C036" w14:textId="77777777" w:rsidR="00684F8F" w:rsidRDefault="00000000">
      <w:pPr>
        <w:spacing w:line="480" w:lineRule="auto"/>
        <w:jc w:val="left"/>
      </w:pPr>
      <w:r>
        <w:t xml:space="preserve">24. Janesick A, Shelansky R, Gottscho AD, et al. </w:t>
      </w:r>
      <w:proofErr w:type="gramStart"/>
      <w:r>
        <w:t>High resolution</w:t>
      </w:r>
      <w:proofErr w:type="gramEnd"/>
      <w:r>
        <w:t xml:space="preserve"> mapping of the tumor microenvironment using integrated single-cell, spatial and in situ analysis. Nat Commun. 2023;14(1):8353. doi:10.1038/s41467-023-43458-x</w:t>
      </w:r>
    </w:p>
    <w:p w14:paraId="5F75AE45" w14:textId="77777777" w:rsidR="00684F8F" w:rsidRDefault="00000000">
      <w:pPr>
        <w:spacing w:line="480" w:lineRule="auto"/>
        <w:jc w:val="left"/>
      </w:pPr>
      <w:r>
        <w:t>25. Xu H, Wang S, Fang M, et al. SPACEL: Deep learning-based characterization of spatial transcriptome architectures. Nat Commun. 2023;14(1):7603. doi:10.1038/s41467-023-43220-3</w:t>
      </w:r>
    </w:p>
    <w:p w14:paraId="40AB7CB6" w14:textId="77777777" w:rsidR="00684F8F" w:rsidRDefault="00000000">
      <w:pPr>
        <w:spacing w:line="480" w:lineRule="auto"/>
        <w:jc w:val="left"/>
      </w:pPr>
      <w:r>
        <w:t>26. Chen T, Guestrin C. XGBoost: A scalable tree boosting system. In: Proceedings of the 22nd ACM SIGKDD International Conference on Knowledge Discovery and Data Mining. ACM; 2016:785-794. doi:10.1145/2939672.2939785</w:t>
      </w:r>
    </w:p>
    <w:p w14:paraId="0DDC1E53" w14:textId="77777777" w:rsidR="00684F8F" w:rsidRDefault="00000000">
      <w:pPr>
        <w:spacing w:line="480" w:lineRule="auto"/>
        <w:jc w:val="left"/>
      </w:pPr>
      <w:r>
        <w:t>27. Barrett T, Wilhite SE, Ledoux P, et al. NCBI GEO: Archive for functional genomics data sets-update. Nucleic Acids Res. 2013;41(D1</w:t>
      </w:r>
      <w:proofErr w:type="gramStart"/>
      <w:r>
        <w:t>):D</w:t>
      </w:r>
      <w:proofErr w:type="gramEnd"/>
      <w:r>
        <w:t>991-D995. doi:10.1093/nar/gks1193</w:t>
      </w:r>
    </w:p>
    <w:p w14:paraId="5083FF36" w14:textId="77777777" w:rsidR="00684F8F" w:rsidRDefault="00000000">
      <w:pPr>
        <w:spacing w:line="480" w:lineRule="auto"/>
        <w:jc w:val="left"/>
      </w:pPr>
      <w:r>
        <w:t>28. Wu Y, Yang S, Ma J, et al. Spatiotemporal immune landscape of colorectal cancer liver metastasis at single-cell level. Cancer Discov. 2022;12(1):134-153. doi:10.1158/2159-8290.CD-21-</w:t>
      </w:r>
      <w:r>
        <w:lastRenderedPageBreak/>
        <w:t>0316</w:t>
      </w:r>
    </w:p>
    <w:p w14:paraId="72E2A922" w14:textId="77777777" w:rsidR="00684F8F" w:rsidRDefault="00000000">
      <w:pPr>
        <w:spacing w:line="480" w:lineRule="auto"/>
        <w:jc w:val="left"/>
      </w:pPr>
      <w:r>
        <w:t xml:space="preserve">29. Hoadley KA, Yau C, Hinoue T, et al. Cell-of-origin patterns dominate the molecular classification of 10,000 tumors from 33 types of cancer. Cell. 2018;173(2):291-304.e6. </w:t>
      </w:r>
      <w:proofErr w:type="gramStart"/>
      <w:r>
        <w:t>doi:10.1016/j.cell</w:t>
      </w:r>
      <w:proofErr w:type="gramEnd"/>
      <w:r>
        <w:t>.2018.03.022</w:t>
      </w:r>
    </w:p>
    <w:p w14:paraId="7C7F7A7A" w14:textId="77777777" w:rsidR="00684F8F" w:rsidRDefault="00000000">
      <w:pPr>
        <w:spacing w:line="480" w:lineRule="auto"/>
        <w:jc w:val="left"/>
      </w:pPr>
      <w:r>
        <w:t xml:space="preserve">30. Thorsson V, Gibbs DL, Brown SD, et al. The immune landscape of cancer. Immunity. 2018;48(4):812-830.e14. </w:t>
      </w:r>
      <w:proofErr w:type="gramStart"/>
      <w:r>
        <w:t>doi:10.1016/j.immuni</w:t>
      </w:r>
      <w:proofErr w:type="gramEnd"/>
      <w:r>
        <w:t>.2018.03.023</w:t>
      </w:r>
    </w:p>
    <w:p w14:paraId="418AA7B6" w14:textId="77777777" w:rsidR="00684F8F" w:rsidRDefault="00000000">
      <w:pPr>
        <w:spacing w:line="480" w:lineRule="auto"/>
        <w:jc w:val="left"/>
      </w:pPr>
      <w:r>
        <w:t>31. Dhillon P, Carroll M, Cheng H. Tumorigenesis and tumor microenvironment in lung cancer. Curr Issues Mol Biol. 2026;48(3):247. doi:10.3390/cimb48030247</w:t>
      </w:r>
    </w:p>
    <w:p w14:paraId="7F50C1A9" w14:textId="481BE587" w:rsidR="00684F8F" w:rsidRDefault="00000000">
      <w:pPr>
        <w:spacing w:line="480" w:lineRule="auto"/>
        <w:jc w:val="left"/>
      </w:pPr>
      <w:r>
        <w:t xml:space="preserve">32. </w:t>
      </w:r>
      <w:r w:rsidR="00D47EAC" w:rsidRPr="00D47EAC">
        <w:t xml:space="preserve">Qi X, Hou S, Xie S, et al. Integrative single-cell and spatial transcriptomic analysis reveals lipid metabolism-mediated macrophage heterogeneity during colorectal cancer liver metastasis progression. J </w:t>
      </w:r>
      <w:proofErr w:type="spellStart"/>
      <w:r w:rsidR="00D47EAC" w:rsidRPr="00D47EAC">
        <w:t>Transl</w:t>
      </w:r>
      <w:proofErr w:type="spellEnd"/>
      <w:r w:rsidR="00D47EAC" w:rsidRPr="00D47EAC">
        <w:t xml:space="preserve"> Med. </w:t>
      </w:r>
      <w:proofErr w:type="gramStart"/>
      <w:r w:rsidR="00D47EAC" w:rsidRPr="00D47EAC">
        <w:t>2026;24:117</w:t>
      </w:r>
      <w:proofErr w:type="gramEnd"/>
      <w:r w:rsidR="00D47EAC" w:rsidRPr="00D47EAC">
        <w:t>. doi:10.1186/s12967-025-07581-1</w:t>
      </w:r>
    </w:p>
    <w:p w14:paraId="58227AB6" w14:textId="77777777" w:rsidR="00684F8F" w:rsidRDefault="00000000">
      <w:pPr>
        <w:spacing w:line="480" w:lineRule="auto"/>
        <w:jc w:val="left"/>
      </w:pPr>
      <w:r>
        <w:t>33. Herbst RS, Giaccone G, De Marinis F, et al. Atezolizumab for first-line treatment of PD-L1-selected patients with NSCLC. N Engl J Med. 2020;383(14):1328-1339. doi:10.1056/NEJMoa1917346</w:t>
      </w:r>
    </w:p>
    <w:p w14:paraId="3DCA7DF2" w14:textId="77777777" w:rsidR="00684F8F" w:rsidRDefault="00000000">
      <w:pPr>
        <w:spacing w:line="480" w:lineRule="auto"/>
        <w:jc w:val="left"/>
      </w:pPr>
      <w:r>
        <w:t>34. Chen Z, Fillmore CM, Hammerman PS, Kim CF, Wong KK. Non-small-cell lung cancers: A heterogeneous set of diseases. Nat Rev Cancer. 2014;14(8):535-546. doi:10.1038/nrc3775</w:t>
      </w:r>
    </w:p>
    <w:p w14:paraId="1C4E80FC" w14:textId="77777777" w:rsidR="00DC2170" w:rsidRDefault="00DC2170"/>
    <w:p w14:paraId="0AB715BF" w14:textId="77777777" w:rsidR="00DC2170" w:rsidRDefault="00000000">
      <w:pPr>
        <w:pStyle w:val="1"/>
        <w:jc w:val="left"/>
      </w:pPr>
      <w:r>
        <w:t>Supporting information</w:t>
      </w:r>
    </w:p>
    <w:p w14:paraId="2CC9FDD4" w14:textId="77777777" w:rsidR="00DC2170" w:rsidRDefault="00000000">
      <w:r>
        <w:rPr>
          <w:b/>
        </w:rPr>
        <w:t xml:space="preserve">S1 Fig. Spatial transcriptomics quality control and clustering overview. </w:t>
      </w:r>
      <w:r>
        <w:t>This figure provides quality-control and clustering context for the spatial transcriptomics analyses.</w:t>
      </w:r>
    </w:p>
    <w:p w14:paraId="5C1B85C1" w14:textId="77777777" w:rsidR="00DC2170" w:rsidRDefault="00000000">
      <w:r>
        <w:rPr>
          <w:b/>
        </w:rPr>
        <w:t xml:space="preserve">S2 Fig. Feature selection, bootstrap stability, and model performance distribution. </w:t>
      </w:r>
      <w:r>
        <w:t>These analyses assess feature robustness and model behavior rather than defining a clinically deployable classifier.</w:t>
      </w:r>
    </w:p>
    <w:p w14:paraId="26E731DA" w14:textId="77777777" w:rsidR="00DC2170" w:rsidRDefault="00000000">
      <w:r>
        <w:rPr>
          <w:b/>
        </w:rPr>
        <w:t xml:space="preserve">S3 Fig. Scale-dependent association between the C1Q score and neighborhood CD8A signal. </w:t>
      </w:r>
      <w:r>
        <w:t>These analyses assess scale-dependent spatial association and do not imply direct cell-cell interaction.</w:t>
      </w:r>
    </w:p>
    <w:p w14:paraId="0E7051E3" w14:textId="77777777" w:rsidR="00DC2170" w:rsidRDefault="00000000">
      <w:r>
        <w:rPr>
          <w:b/>
        </w:rPr>
        <w:t xml:space="preserve">S4 Fig. Spatial-immune positioning of C1QA and comparator genes. </w:t>
      </w:r>
      <w:r>
        <w:t>C1QA is shown as a representative C1Q-family gene in comparative spatial-immune positioning analyses.</w:t>
      </w:r>
    </w:p>
    <w:p w14:paraId="06023534" w14:textId="77777777" w:rsidR="00DC2170" w:rsidRDefault="00000000">
      <w:r>
        <w:rPr>
          <w:b/>
        </w:rPr>
        <w:t xml:space="preserve">S5 Fig. Immune-context associations of the C1Q axis. </w:t>
      </w:r>
      <w:r>
        <w:t>These analyses characterize immune-context marker correlations and do not validate immunotherapy-response prediction.</w:t>
      </w:r>
    </w:p>
    <w:p w14:paraId="1DBFC729" w14:textId="77777777" w:rsidR="00DC2170" w:rsidRDefault="00000000">
      <w:r>
        <w:rPr>
          <w:b/>
        </w:rPr>
        <w:lastRenderedPageBreak/>
        <w:t xml:space="preserve">S6 Fig. Attenuation sensitivity analysis of the C1Q-associated signal. </w:t>
      </w:r>
      <w:r>
        <w:t>Computational attenuation was used as an internal consistency analysis and should not be interpreted as experimental knockdown.</w:t>
      </w:r>
    </w:p>
    <w:p w14:paraId="61483D5E" w14:textId="77777777" w:rsidR="00DC2170" w:rsidRDefault="00000000">
      <w:r>
        <w:rPr>
          <w:b/>
        </w:rPr>
        <w:t xml:space="preserve">S7 Fig. Exploratory decomposition of direct and indirect components linking immune axes to risk. </w:t>
      </w:r>
      <w:r>
        <w:t>These estimates are exploratory network-consistency summaries and should not be interpreted as causal mediation effects.</w:t>
      </w:r>
    </w:p>
    <w:p w14:paraId="2B67384F" w14:textId="77777777" w:rsidR="00DC2170" w:rsidRDefault="00000000">
      <w:r>
        <w:rPr>
          <w:b/>
        </w:rPr>
        <w:t xml:space="preserve">S8 Fig. Model benchmarking and subgroup consistency analyses. </w:t>
      </w:r>
      <w:r>
        <w:t>These analyses provide additional robustness checks for model behavior and subgroup-level consistency.</w:t>
      </w:r>
    </w:p>
    <w:p w14:paraId="31E7FD86" w14:textId="77777777" w:rsidR="00DC2170" w:rsidRDefault="00000000">
      <w:r>
        <w:rPr>
          <w:b/>
        </w:rPr>
        <w:t xml:space="preserve">S9 Fig. Exploratory immunotherapy-associated immune-context analysis. </w:t>
      </w:r>
      <w:r>
        <w:t>These analyses provide immune-context plausibility and do not establish a treatment-response biomarker.</w:t>
      </w:r>
    </w:p>
    <w:p w14:paraId="2BF5DAD1" w14:textId="77777777" w:rsidR="00DC2170" w:rsidRDefault="00000000">
      <w:r>
        <w:rPr>
          <w:b/>
        </w:rPr>
        <w:t xml:space="preserve">S10 Fig. Pan-cancer and comparator gene-context analysis. </w:t>
      </w:r>
      <w:r>
        <w:t>Pan-cancer analyses are provided only as exploratory context and were not used to support the NSCLC-specific conclusion.</w:t>
      </w:r>
    </w:p>
    <w:p w14:paraId="11D8554D" w14:textId="77777777" w:rsidR="00DC2170" w:rsidRDefault="00000000">
      <w:r>
        <w:rPr>
          <w:b/>
        </w:rPr>
        <w:t xml:space="preserve">S1 Table. Benchmarking performance of the final traceability model. </w:t>
      </w:r>
      <w:r>
        <w:t>Candidate model performance metrics are shown for benchmarking purposes.</w:t>
      </w:r>
    </w:p>
    <w:p w14:paraId="334D287D" w14:textId="77777777" w:rsidR="00DC2170" w:rsidRDefault="00000000">
      <w:r>
        <w:rPr>
          <w:b/>
        </w:rPr>
        <w:t xml:space="preserve">S2 Table. Candidate feature selection and score-construction details. </w:t>
      </w:r>
      <w:r>
        <w:t>Candidate features are listed with selection frequency, available model information, annotations and score-framework role.</w:t>
      </w:r>
    </w:p>
    <w:p w14:paraId="3217221F" w14:textId="77777777" w:rsidR="00DC2170" w:rsidRDefault="00000000">
      <w:r>
        <w:rPr>
          <w:b/>
        </w:rPr>
        <w:t xml:space="preserve">S3 Table. Spatial autocorrelation and hotspot characteristics of C1Q-axis and comparator genes. </w:t>
      </w:r>
      <w:r>
        <w:t>Spatial metrics characterize organization within public spatial transcriptomics resources.</w:t>
      </w:r>
    </w:p>
    <w:p w14:paraId="3C84C984" w14:textId="77777777" w:rsidR="00DC2170" w:rsidRDefault="00000000">
      <w:r>
        <w:rPr>
          <w:b/>
        </w:rPr>
        <w:t xml:space="preserve">S4 Table. Immune-marker and cell-context correlations of selected genes. </w:t>
      </w:r>
      <w:r>
        <w:t>Correlation coefficients describe immune-context associations across selected genes and inferred immune-cell signatures.</w:t>
      </w:r>
    </w:p>
    <w:p w14:paraId="4D33A704" w14:textId="77777777" w:rsidR="00DC2170" w:rsidRDefault="00000000">
      <w:r>
        <w:rPr>
          <w:b/>
        </w:rPr>
        <w:t xml:space="preserve">S5 Table. Computational attenuation analysis of the C1Q-associated spatial signal. </w:t>
      </w:r>
      <w:r>
        <w:t>This analysis evaluates sensitivity of spatial and traceability metrics to reduced C1Q signal strength.</w:t>
      </w:r>
    </w:p>
    <w:p w14:paraId="519B2B07" w14:textId="77777777" w:rsidR="00DC2170" w:rsidRDefault="00000000">
      <w:r>
        <w:rPr>
          <w:b/>
        </w:rPr>
        <w:t xml:space="preserve">S6 Table. Exploratory network-consistency analysis of immune-context pathways. </w:t>
      </w:r>
      <w:r>
        <w:t>Direct, indirect and proportion-associated components are presented as exploratory network-consistency summaries.</w:t>
      </w:r>
    </w:p>
    <w:p w14:paraId="48CE9EEF" w14:textId="77777777" w:rsidR="00DC2170" w:rsidRDefault="00000000">
      <w:r>
        <w:rPr>
          <w:b/>
        </w:rPr>
        <w:t xml:space="preserve">S7 Table. External survival traceability and exploratory immunotherapy-associated cohort analyses. </w:t>
      </w:r>
      <w:r>
        <w:t>External GEO cohorts were used for survival-traceability assessment; immunotherapy-associated cohorts were analyzed only as exploratory immune-context datasets.</w:t>
      </w:r>
    </w:p>
    <w:p w14:paraId="39B4062D" w14:textId="77777777" w:rsidR="00DC2170" w:rsidRDefault="00000000">
      <w:r>
        <w:rPr>
          <w:b/>
        </w:rPr>
        <w:t xml:space="preserve">S8 Table. Spatial transcriptomics dataset characteristics and quality-control summary. </w:t>
      </w:r>
      <w:r>
        <w:t>Spatial dataset metadata, platform information, tissue context, quality-control summaries and preprocessing notes are summarized.</w:t>
      </w:r>
    </w:p>
    <w:p w14:paraId="4A5DAD89" w14:textId="77777777" w:rsidR="00DC2170" w:rsidRDefault="00000000">
      <w:r>
        <w:rPr>
          <w:b/>
        </w:rPr>
        <w:t xml:space="preserve">S9 Table. Functional annotation of selected genes included in the C1Q-associated framework. </w:t>
      </w:r>
      <w:r>
        <w:t>Functional annotations are descriptive and were not used as independent evidence of gene function in this study.</w:t>
      </w:r>
    </w:p>
    <w:p w14:paraId="06D73BA9" w14:textId="77777777" w:rsidR="00DC2170" w:rsidRDefault="00000000">
      <w:r>
        <w:rPr>
          <w:b/>
        </w:rPr>
        <w:t xml:space="preserve">S10 Table. Exploratory immunotherapy-associated immune-context trends. </w:t>
      </w:r>
      <w:r>
        <w:t xml:space="preserve">These trends are </w:t>
      </w:r>
      <w:r>
        <w:lastRenderedPageBreak/>
        <w:t>exploratory and should not be interpreted as validation of a treatment-response biomarker.</w:t>
      </w:r>
    </w:p>
    <w:p w14:paraId="0A188289" w14:textId="77777777" w:rsidR="00DC2170" w:rsidRDefault="00000000">
      <w:r>
        <w:rPr>
          <w:b/>
        </w:rPr>
        <w:t xml:space="preserve">S1 File. Source data and machine-readable tables. </w:t>
      </w:r>
      <w:r>
        <w:t>This ZIP file contains figure-source data, machine-readable supplementary tables, source-data inventory files and the source-data manifest used to support the analyses reported in the manuscript.</w:t>
      </w:r>
    </w:p>
    <w:sectPr w:rsidR="00DC2170">
      <w:headerReference w:type="even" r:id="rId13"/>
      <w:headerReference w:type="default" r:id="rId14"/>
      <w:footerReference w:type="even" r:id="rId15"/>
      <w:footerReference w:type="default" r:id="rId16"/>
      <w:headerReference w:type="first" r:id="rId17"/>
      <w:footerReference w:type="first" r:id="rId18"/>
      <w:pgSz w:w="11909" w:h="16834"/>
      <w:pgMar w:top="1440" w:right="1080" w:bottom="1440" w:left="1080" w:header="708" w:footer="70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3A6BD" w14:textId="77777777" w:rsidR="00465121" w:rsidRDefault="00465121">
      <w:pPr>
        <w:spacing w:line="240" w:lineRule="auto"/>
      </w:pPr>
      <w:r>
        <w:separator/>
      </w:r>
    </w:p>
  </w:endnote>
  <w:endnote w:type="continuationSeparator" w:id="0">
    <w:p w14:paraId="50FF0AAC" w14:textId="77777777" w:rsidR="00465121" w:rsidRDefault="004651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8D44" w14:textId="77777777" w:rsidR="00163AB5" w:rsidRDefault="00163AB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5D72" w14:textId="77777777" w:rsidR="006E61D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63AB5">
      <w:rPr>
        <w:noProof/>
        <w:color w:val="666666"/>
        <w:sz w:val="18"/>
        <w:szCs w:val="18"/>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9B36" w14:textId="77777777" w:rsidR="00163AB5" w:rsidRDefault="00163AB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0897D" w14:textId="77777777" w:rsidR="00465121" w:rsidRDefault="00465121">
      <w:pPr>
        <w:spacing w:line="240" w:lineRule="auto"/>
      </w:pPr>
      <w:r>
        <w:separator/>
      </w:r>
    </w:p>
  </w:footnote>
  <w:footnote w:type="continuationSeparator" w:id="0">
    <w:p w14:paraId="5DB1A8D5" w14:textId="77777777" w:rsidR="00465121" w:rsidRDefault="004651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D547" w14:textId="77777777" w:rsidR="00163AB5" w:rsidRDefault="00163AB5">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634E" w14:textId="77777777" w:rsidR="006E61DB" w:rsidRDefault="006E61DB">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3CC0" w14:textId="77777777" w:rsidR="00163AB5" w:rsidRDefault="00163AB5">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1FE7"/>
    <w:multiLevelType w:val="hybridMultilevel"/>
    <w:tmpl w:val="73B2EA72"/>
    <w:lvl w:ilvl="0" w:tplc="A77A8EFA">
      <w:start w:val="1"/>
      <w:numFmt w:val="bullet"/>
      <w:lvlText w:val="●"/>
      <w:lvlJc w:val="left"/>
      <w:pPr>
        <w:ind w:left="720" w:hanging="360"/>
      </w:pPr>
    </w:lvl>
    <w:lvl w:ilvl="1" w:tplc="ABCE83BE">
      <w:start w:val="1"/>
      <w:numFmt w:val="bullet"/>
      <w:lvlText w:val="○"/>
      <w:lvlJc w:val="left"/>
      <w:pPr>
        <w:ind w:left="1440" w:hanging="360"/>
      </w:pPr>
    </w:lvl>
    <w:lvl w:ilvl="2" w:tplc="8F6C8BDE">
      <w:start w:val="1"/>
      <w:numFmt w:val="bullet"/>
      <w:lvlText w:val="■"/>
      <w:lvlJc w:val="left"/>
      <w:pPr>
        <w:ind w:left="2160" w:hanging="360"/>
      </w:pPr>
    </w:lvl>
    <w:lvl w:ilvl="3" w:tplc="6FEE701A">
      <w:start w:val="1"/>
      <w:numFmt w:val="bullet"/>
      <w:lvlText w:val="●"/>
      <w:lvlJc w:val="left"/>
      <w:pPr>
        <w:ind w:left="2880" w:hanging="360"/>
      </w:pPr>
    </w:lvl>
    <w:lvl w:ilvl="4" w:tplc="2B0A9FAE">
      <w:start w:val="1"/>
      <w:numFmt w:val="bullet"/>
      <w:lvlText w:val="○"/>
      <w:lvlJc w:val="left"/>
      <w:pPr>
        <w:ind w:left="3600" w:hanging="360"/>
      </w:pPr>
    </w:lvl>
    <w:lvl w:ilvl="5" w:tplc="560C655E">
      <w:start w:val="1"/>
      <w:numFmt w:val="bullet"/>
      <w:lvlText w:val="■"/>
      <w:lvlJc w:val="left"/>
      <w:pPr>
        <w:ind w:left="4320" w:hanging="360"/>
      </w:pPr>
    </w:lvl>
    <w:lvl w:ilvl="6" w:tplc="20D4E4CE">
      <w:start w:val="1"/>
      <w:numFmt w:val="bullet"/>
      <w:lvlText w:val="●"/>
      <w:lvlJc w:val="left"/>
      <w:pPr>
        <w:ind w:left="5040" w:hanging="360"/>
      </w:pPr>
    </w:lvl>
    <w:lvl w:ilvl="7" w:tplc="40F8C9FA">
      <w:start w:val="1"/>
      <w:numFmt w:val="bullet"/>
      <w:lvlText w:val="●"/>
      <w:lvlJc w:val="left"/>
      <w:pPr>
        <w:ind w:left="5760" w:hanging="360"/>
      </w:pPr>
    </w:lvl>
    <w:lvl w:ilvl="8" w:tplc="145ECBB8">
      <w:start w:val="1"/>
      <w:numFmt w:val="bullet"/>
      <w:lvlText w:val="●"/>
      <w:lvlJc w:val="left"/>
      <w:pPr>
        <w:ind w:left="6480" w:hanging="360"/>
      </w:pPr>
    </w:lvl>
  </w:abstractNum>
  <w:num w:numId="1" w16cid:durableId="498664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DB"/>
    <w:rsid w:val="000F1E06"/>
    <w:rsid w:val="0011568B"/>
    <w:rsid w:val="00163AB5"/>
    <w:rsid w:val="00246D04"/>
    <w:rsid w:val="00247C70"/>
    <w:rsid w:val="00434691"/>
    <w:rsid w:val="00465121"/>
    <w:rsid w:val="005034D8"/>
    <w:rsid w:val="00546622"/>
    <w:rsid w:val="00684F8F"/>
    <w:rsid w:val="006A3C75"/>
    <w:rsid w:val="006E61DB"/>
    <w:rsid w:val="006F62C4"/>
    <w:rsid w:val="00702060"/>
    <w:rsid w:val="007E030A"/>
    <w:rsid w:val="008238F2"/>
    <w:rsid w:val="008E211D"/>
    <w:rsid w:val="00A3603D"/>
    <w:rsid w:val="00A81FF7"/>
    <w:rsid w:val="00BB4309"/>
    <w:rsid w:val="00C05128"/>
    <w:rsid w:val="00C65B5C"/>
    <w:rsid w:val="00D34FD0"/>
    <w:rsid w:val="00D40C96"/>
    <w:rsid w:val="00D47EAC"/>
    <w:rsid w:val="00DC2170"/>
    <w:rsid w:val="00E37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DB78A"/>
  <w15:docId w15:val="{665B665A-9928-4BBE-AB86-2ECF8C01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Times New Roman"/>
    </w:rPr>
  </w:style>
  <w:style w:type="paragraph" w:styleId="1">
    <w:name w:val="heading 1"/>
    <w:uiPriority w:val="9"/>
    <w:qFormat/>
    <w:pPr>
      <w:outlineLvl w:val="0"/>
    </w:pPr>
    <w:rPr>
      <w:rFonts w:eastAsia="Times New Roman"/>
      <w:b/>
      <w:color w:val="2E74B5"/>
      <w:szCs w:val="32"/>
    </w:rPr>
  </w:style>
  <w:style w:type="paragraph" w:styleId="2">
    <w:name w:val="heading 2"/>
    <w:uiPriority w:val="9"/>
    <w:semiHidden/>
    <w:unhideWhenUsed/>
    <w:qFormat/>
    <w:pPr>
      <w:outlineLvl w:val="1"/>
    </w:pPr>
    <w:rPr>
      <w:rFonts w:eastAsia="Times New Roman"/>
      <w:b/>
      <w:color w:val="2E74B5"/>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sz w:val="28"/>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163AB5"/>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163AB5"/>
    <w:rPr>
      <w:sz w:val="18"/>
      <w:szCs w:val="18"/>
    </w:rPr>
  </w:style>
  <w:style w:type="paragraph" w:styleId="ae">
    <w:name w:val="footer"/>
    <w:basedOn w:val="a"/>
    <w:link w:val="af"/>
    <w:uiPriority w:val="99"/>
    <w:unhideWhenUsed/>
    <w:rsid w:val="00163AB5"/>
    <w:pPr>
      <w:tabs>
        <w:tab w:val="center" w:pos="4153"/>
        <w:tab w:val="right" w:pos="8306"/>
      </w:tabs>
      <w:snapToGrid w:val="0"/>
      <w:spacing w:line="240" w:lineRule="auto"/>
      <w:jc w:val="left"/>
    </w:pPr>
    <w:rPr>
      <w:sz w:val="18"/>
      <w:szCs w:val="18"/>
    </w:rPr>
  </w:style>
  <w:style w:type="character" w:customStyle="1" w:styleId="af">
    <w:name w:val="页脚 字符"/>
    <w:basedOn w:val="a0"/>
    <w:link w:val="ae"/>
    <w:uiPriority w:val="99"/>
    <w:rsid w:val="00163AB5"/>
    <w:rPr>
      <w:sz w:val="18"/>
      <w:szCs w:val="18"/>
    </w:rPr>
  </w:style>
  <w:style w:type="character" w:styleId="af0">
    <w:name w:val="line number"/>
    <w:basedOn w:val="a0"/>
    <w:uiPriority w:val="99"/>
    <w:semiHidden/>
    <w:unhideWhenUsed/>
    <w:rsid w:val="00A36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6.tif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5901</Words>
  <Characters>41133</Characters>
  <Application>Microsoft Office Word</Application>
  <DocSecurity>0</DocSecurity>
  <Lines>791</Lines>
  <Paragraphs>322</Paragraphs>
  <ScaleCrop>false</ScaleCrop>
  <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雄劼 黎</cp:lastModifiedBy>
  <cp:revision>13</cp:revision>
  <dcterms:created xsi:type="dcterms:W3CDTF">2026-05-08T12:29:00Z</dcterms:created>
  <dcterms:modified xsi:type="dcterms:W3CDTF">2026-05-17T16:41:00Z</dcterms:modified>
</cp:coreProperties>
</file>