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MEAGAN PARSONS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Senior Data Analyst | Analytics Engineer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morningstar1898@gmail.com</w:t>
      </w:r>
      <w:r>
        <w:rPr>
          <w:rFonts w:ascii="Arial" w:cs="Arial" w:eastAsia="Arial" w:hAnsi="Arial"/>
          <w:color w:val="D1D5DB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linkedin.com/in/meagan-parsons-37321a177</w:t>
      </w:r>
      <w:r>
        <w:rPr>
          <w:rFonts w:ascii="Arial" w:cs="Arial" w:eastAsia="Arial" w:hAnsi="Arial"/>
          <w:color w:val="D1D5DB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github.com/morningstar1898-eng</w:t>
      </w:r>
    </w:p>
    <w:p>
      <w:pPr>
        <w:pBdr>
          <w:bottom w:val="single" w:color="2E75B6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Senior healthcare analytics professional with 5+ years at Optum/UnitedHealth Group specializing in claims analytics, revenue integrity, and provider performance optimization. Builds end-to-end data pipelines and warehouses using SQL, Python, dbt, and PostgreSQL. Delivers executive dashboards and statistical models that have identified $2M+ in revenue leakage and reduced claim denial rates by 18%. MBA in Finance &amp; Data Analytics.</w:t>
      </w:r>
    </w:p>
    <w:p>
      <w:pPr>
        <w:pBdr>
          <w:bottom w:val="single" w:color="2E75B6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Healthcare Analyst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Optum / UnitedHealth Group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2019 – Present  |  Lawton, 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Identified $2M+ in annual revenue leakage by building charge-to-payment variance models across 500+ provider contracts, leading to renegotiation of 12 underpaying payer agreements.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Reduced claim denial rate by 18% through root-cause analysis of 50K+ denied claims, implementing automated flagging rules that caught coding errors before submission.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Built and maintained 15+ Tableau dashboards used by C-suite and VP-level stakeholders to monitor $200M+ in annual claims volume, denial trends, and provider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Automated weekly reporting pipelines using Python and SQL, cutting report generation time from 8 hours to 45 minutes and eliminating manual data entry errors.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Designed provider performance scorecards benchmarking 120+ providers on quality, cost efficiency, and utilization metrics, directly informing network strategy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Led fraud, waste, and abuse analytics initiative that flagged $500K+ in suspicious claims through anomaly detection and provider risk profiling models.</w:t>
      </w:r>
    </w:p>
    <w:p>
      <w:pPr>
        <w:pBdr>
          <w:bottom w:val="single" w:color="2E75B6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PROJECTS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1800"/>
      </w:tblGrid>
      <w:tr>
        <w:tc>
          <w:tcPr>
            <w:tcW w:type="dxa" w:w="3600"/>
            <w:tcBorders>
              <w:top w:val="none" w:sz="0"/>
              <w:left w:val="none" w:sz="0"/>
              <w:bottom w:val="single" w:color="2E75B6" w:sz="4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Project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E75B6" w:sz="4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E75B6" w:sz="4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Fraud Risk Analytics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$500K+ suspicious claims flagged across 10K+ claims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SQL, Tableau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Integrity Analytics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$2M+ revenue leakage identified from 250K+ CMS records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SQL, Tableau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Efficiency Analysis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 denial rate reduction; 90% reporting time savings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SQL, Tableau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Performance Analytics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120+ providers benchmarked with standardized scorecards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SQL, Tableau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Data Warehouse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+ PostgreSQL: staging, intermediate, mart layers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dbt, PostgreSQL, SQL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Healthcare Pipeline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data prep time reduction; zero manual errors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SQL, ETL</w:t>
            </w:r>
          </w:p>
        </w:tc>
      </w:tr>
    </w:tbl>
    <w:p>
      <w:pPr>
        <w:pBdr>
          <w:bottom w:val="single" w:color="2E75B6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SQL &amp; Databases: </w:t>
      </w:r>
      <w:r>
        <w:rPr>
          <w:rFonts w:ascii="Arial" w:cs="Arial" w:eastAsia="Arial" w:hAnsi="Arial"/>
          <w:sz w:val="19"/>
          <w:szCs w:val="19"/>
        </w:rPr>
        <w:t xml:space="preserve">PostgreSQL, SQL Server, dbt, Data Modeling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Python &amp; Analytics: </w:t>
      </w:r>
      <w:r>
        <w:rPr>
          <w:rFonts w:ascii="Arial" w:cs="Arial" w:eastAsia="Arial" w:hAnsi="Arial"/>
          <w:sz w:val="19"/>
          <w:szCs w:val="19"/>
        </w:rPr>
        <w:t xml:space="preserve">pandas, NumPy, SciPy, Jupyter, matplotlib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Visualization: </w:t>
      </w:r>
      <w:r>
        <w:rPr>
          <w:rFonts w:ascii="Arial" w:cs="Arial" w:eastAsia="Arial" w:hAnsi="Arial"/>
          <w:sz w:val="19"/>
          <w:szCs w:val="19"/>
        </w:rPr>
        <w:t xml:space="preserve">Tableau, Power BI, Matplotlib, Seaborn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Engineering: </w:t>
      </w:r>
      <w:r>
        <w:rPr>
          <w:rFonts w:ascii="Arial" w:cs="Arial" w:eastAsia="Arial" w:hAnsi="Arial"/>
          <w:sz w:val="19"/>
          <w:szCs w:val="19"/>
        </w:rPr>
        <w:t xml:space="preserve">ETL Pipelines, Data Warehousing, Airflow, Azure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Domain: </w:t>
      </w:r>
      <w:r>
        <w:rPr>
          <w:rFonts w:ascii="Arial" w:cs="Arial" w:eastAsia="Arial" w:hAnsi="Arial"/>
          <w:sz w:val="19"/>
          <w:szCs w:val="19"/>
        </w:rPr>
        <w:t xml:space="preserve">Healthcare Claims, Revenue Integrity, Fraud Analytics, Provider Performance, CMS/Medicare</w:t>
      </w:r>
    </w:p>
    <w:p>
      <w:pPr>
        <w:pBdr>
          <w:bottom w:val="single" w:color="2E75B6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</w:p>
    <w:p>
      <w:pPr>
        <w:spacing w:after="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Finance &amp; Data Analytics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Relevant coursework: Business Analytics, Financial Modeling, Data-Driven Decision Making, Statistical Methods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2026-06-17T16:15:35.831Z</dcterms:created>
  <dcterms:modified xsi:type="dcterms:W3CDTF">2026-06-17T16:15:35.833Z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