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SlideMind 复杂内容读取样本</w:t>
      </w:r>
    </w:p>
    <w:p>
      <w:r>
        <w:t>该样本覆盖表格、合并单元格、分页、页眉和页脚。</w:t>
      </w:r>
    </w:p>
    <w:p>
      <w:pPr>
        <w:pStyle w:val="Heading1"/>
      </w:pPr>
      <w:r>
        <w:t>销售数据表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D9EAF7"/>
          </w:tcPr>
          <w:p>
            <w:r>
              <w:t>区域</w:t>
            </w:r>
          </w:p>
        </w:tc>
        <w:tc>
          <w:tcPr>
            <w:tcW w:type="dxa" w:w="3264"/>
            <w:vAlign w:val="center"/>
            <w:shd w:fill="D9EAF7"/>
          </w:tcPr>
          <w:p>
            <w:r>
              <w:t>季度</w:t>
            </w:r>
          </w:p>
        </w:tc>
        <w:tc>
          <w:tcPr>
            <w:tcW w:type="dxa" w:w="3264"/>
            <w:vAlign w:val="center"/>
            <w:shd w:fill="D9EAF7"/>
          </w:tcPr>
          <w:p>
            <w:r>
              <w:t>收入 万元</w:t>
            </w:r>
          </w:p>
        </w:tc>
      </w:tr>
      <w:tr>
        <w:tc>
          <w:tcPr>
            <w:tcW w:type="dxa" w:w="3264"/>
          </w:tcPr>
          <w:p>
            <w:r>
              <w:t>华东</w:t>
            </w:r>
          </w:p>
        </w:tc>
        <w:tc>
          <w:tcPr>
            <w:tcW w:type="dxa" w:w="3264"/>
          </w:tcPr>
          <w:p>
            <w:r>
              <w:t>第一季度</w:t>
            </w:r>
          </w:p>
        </w:tc>
        <w:tc>
          <w:tcPr>
            <w:tcW w:type="dxa" w:w="3264"/>
          </w:tcPr>
          <w:p>
            <w:r>
              <w:t>120</w:t>
            </w:r>
          </w:p>
        </w:tc>
      </w:tr>
      <w:tr>
        <w:tc>
          <w:tcPr>
            <w:tcW w:type="dxa" w:w="3264"/>
          </w:tcPr>
          <w:p>
            <w:r>
              <w:t>华东</w:t>
            </w:r>
          </w:p>
        </w:tc>
        <w:tc>
          <w:tcPr>
            <w:tcW w:type="dxa" w:w="3264"/>
          </w:tcPr>
          <w:p>
            <w:r>
              <w:t>第二季度</w:t>
            </w:r>
          </w:p>
        </w:tc>
        <w:tc>
          <w:tcPr>
            <w:tcW w:type="dxa" w:w="3264"/>
          </w:tcPr>
          <w:p>
            <w:r>
              <w:t>135</w:t>
            </w:r>
          </w:p>
        </w:tc>
      </w:tr>
      <w:tr>
        <w:tc>
          <w:tcPr>
            <w:tcW w:type="dxa" w:w="3264"/>
          </w:tcPr>
          <w:p>
            <w:r>
              <w:t>华南</w:t>
            </w:r>
          </w:p>
        </w:tc>
        <w:tc>
          <w:tcPr>
            <w:tcW w:type="dxa" w:w="3264"/>
          </w:tcPr>
          <w:p>
            <w:r>
              <w:t>第一季度</w:t>
            </w:r>
          </w:p>
        </w:tc>
        <w:tc>
          <w:tcPr>
            <w:tcW w:type="dxa" w:w="3264"/>
          </w:tcPr>
          <w:p>
            <w:r>
              <w:t>98</w:t>
            </w:r>
          </w:p>
        </w:tc>
      </w:tr>
    </w:tbl>
    <w:p>
      <w:r>
        <w:t>表格关系标记：华东第二季度收入一百三十五万元。</w:t>
      </w:r>
    </w:p>
    <w:p>
      <w:r>
        <w:br w:type="page"/>
      </w:r>
    </w:p>
    <w:p>
      <w:pPr>
        <w:pStyle w:val="Heading1"/>
      </w:pPr>
      <w:r>
        <w:t>第二页内容</w:t>
      </w:r>
    </w:p>
    <w:p>
      <w:r>
        <w:t>分页后标记 PAGE TWO CONTENT。</w:t>
      </w:r>
    </w:p>
    <w:p>
      <w:r>
        <w:t>混合字符：简体中文，繁體中文，日本語，한국어，café，naïve，😀。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页脚标记 FOOTER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页眉标记 HEADER 中文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 w:eastAsia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SlideMind 复杂内容读取样本</dc:title>
  <dc:subject/>
  <dc:creator>SlideMind P0 fixture generator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