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u w:val="single"/>
        </w:rPr>
        <w:t xml:space="preserve">BIBLIOGRAFÍA BASE PARA EL DESARROLLO DE UN MODELO TÉRMICO UNIDIMENSIONAL DEL REVESTIMIENTO REFRACTARIO DE UNA OLLA DE ACERÍA</w:t>
      </w:r>
    </w:p>
    <w:p>
      <w:pPr>
        <w:spacing w:after="120"/>
        <w:jc w:val="center"/>
      </w:pPr>
      <w:r>
        <w:rPr>
          <w:rFonts w:ascii="Times New Roman" w:cs="Times New Roman" w:eastAsia="Times New Roman" w:hAnsi="Times New Roman"/>
          <w:i/>
          <w:iCs/>
          <w:sz w:val="24"/>
          <w:szCs w:val="24"/>
        </w:rPr>
        <w:t xml:space="preserve">Aportaciones de cada fuente, forma de uso en el modelo y requisitos de información asociados</w:t>
      </w:r>
    </w:p>
    <w:p>
      <w:pPr>
        <w:spacing w:after="60"/>
        <w:jc w:val="center"/>
      </w:pPr>
      <w:r>
        <w:rPr>
          <w:rFonts w:ascii="Times New Roman" w:cs="Times New Roman" w:eastAsia="Times New Roman" w:hAnsi="Times New Roman"/>
          <w:sz w:val="24"/>
          <w:szCs w:val="24"/>
        </w:rPr>
        <w:t xml:space="preserve">Rodrigo — Ingeniería en Metalurgia y Fundición</w:t>
      </w:r>
    </w:p>
    <w:p>
      <w:pPr>
        <w:spacing w:after="240"/>
        <w:jc w:val="center"/>
      </w:pPr>
      <w:r>
        <w:rPr>
          <w:rFonts w:ascii="Times New Roman" w:cs="Times New Roman" w:eastAsia="Times New Roman" w:hAnsi="Times New Roman"/>
          <w:sz w:val="24"/>
          <w:szCs w:val="24"/>
        </w:rPr>
        <w:t xml:space="preserve">Instituto Tecnológico de Saltillo · 17 de agosto de 2026</w:t>
      </w:r>
    </w:p>
    <w:p>
      <w:pPr>
        <w:spacing w:after="200" w:before="360"/>
        <w:jc w:val="center"/>
      </w:pPr>
      <w:r>
        <w:rPr>
          <w:rFonts w:ascii="Times New Roman" w:cs="Times New Roman" w:eastAsia="Times New Roman" w:hAnsi="Times New Roman"/>
          <w:b/>
          <w:bCs/>
          <w:sz w:val="24"/>
          <w:szCs w:val="24"/>
          <w:u w:val="single"/>
        </w:rPr>
        <w:t xml:space="preserve">1. OBJETIVO Y ALCANCE DEL DOCUMENTO</w:t>
      </w:r>
    </w:p>
    <w:p>
      <w:pPr>
        <w:spacing w:after="120" w:line="276"/>
        <w:jc w:val="both"/>
      </w:pPr>
      <w:r>
        <w:rPr>
          <w:rFonts w:ascii="Times New Roman" w:cs="Times New Roman" w:eastAsia="Times New Roman" w:hAnsi="Times New Roman"/>
          <w:b w:val="false"/>
          <w:bCs w:val="false"/>
          <w:i w:val="false"/>
          <w:iCs w:val="false"/>
          <w:sz w:val="24"/>
          <w:szCs w:val="24"/>
        </w:rPr>
        <w:t xml:space="preserve">El modelo que se pretende construir resuelve el perfil de temperatura transitorio a través del espesor del revestimiento de una olla de acería —cara caliente, capa de trabajo, capa de seguridad, capa aislante y coraza de acero— con el fin de establecer el tiempo mínimo de precalentamiento que evite simultáneamente tres modos de falla: el choque térmico del refractario, el enfriamiento excesivo del acero al vaciarlo en una olla insuficientemente caliente, y la apertura de juntas que permite la infiltración de metal o escoria.</w:t>
      </w:r>
    </w:p>
    <w:p>
      <w:pPr>
        <w:spacing w:after="120" w:line="276"/>
        <w:jc w:val="both"/>
      </w:pPr>
      <w:r>
        <w:rPr>
          <w:rFonts w:ascii="Times New Roman" w:cs="Times New Roman" w:eastAsia="Times New Roman" w:hAnsi="Times New Roman"/>
          <w:b w:val="false"/>
          <w:bCs w:val="false"/>
          <w:i w:val="false"/>
          <w:iCs w:val="false"/>
          <w:sz w:val="24"/>
          <w:szCs w:val="24"/>
        </w:rPr>
        <w:t xml:space="preserve">La formulación de partida es la ecuación de conducción transitoria en coordenadas cilíndricas, con propiedades dependientes de la temperatura y sin generación interna:</w:t>
      </w:r>
    </w:p>
    <w:p>
      <w:pPr>
        <w:spacing w:after="120" w:before="120"/>
        <w:jc w:val="center"/>
      </w:pPr>
      <w:r>
        <w:rPr>
          <w:rFonts w:ascii="Times New Roman" w:cs="Times New Roman" w:eastAsia="Times New Roman" w:hAnsi="Times New Roman"/>
          <w:i/>
          <w:iCs/>
          <w:sz w:val="24"/>
          <w:szCs w:val="24"/>
        </w:rPr>
        <w:t xml:space="preserve">ρ(T) · cp(T) · ∂T/∂t = (1/r) · ∂/∂r [ r · k(T) · ∂T/∂r ]</w:t>
      </w:r>
    </w:p>
    <w:p>
      <w:pPr>
        <w:spacing w:after="120" w:line="276"/>
        <w:jc w:val="both"/>
      </w:pPr>
      <w:r>
        <w:rPr>
          <w:rFonts w:ascii="Times New Roman" w:cs="Times New Roman" w:eastAsia="Times New Roman" w:hAnsi="Times New Roman"/>
          <w:b w:val="false"/>
          <w:bCs w:val="false"/>
          <w:i w:val="false"/>
          <w:iCs w:val="false"/>
          <w:sz w:val="24"/>
          <w:szCs w:val="24"/>
        </w:rPr>
        <w:t xml:space="preserve">Este documento no resuelve esa ecuación: ordena la bibliografía mínima necesaria para poder resolverla con criterio. Para cada fuente se indica qué aporta, cómo se emplea concretamente en la construcción del modelo y qué información —propiedades del refractario, datos de planta, suposiciones explícitas— exige tener a la mano para que ese aporte sea utilizable. La lista se depuró y verificó contra las fuentes originales; las referencias que aquí aparecen son las que efectivamente sostienen un modelo unidimensional defendible, no un listado exhaustivo del tema.</w:t>
      </w:r>
    </w:p>
    <w:p>
      <w:pPr>
        <w:spacing w:after="200" w:before="360"/>
        <w:jc w:val="center"/>
      </w:pPr>
      <w:r>
        <w:rPr>
          <w:rFonts w:ascii="Times New Roman" w:cs="Times New Roman" w:eastAsia="Times New Roman" w:hAnsi="Times New Roman"/>
          <w:b/>
          <w:bCs/>
          <w:sz w:val="24"/>
          <w:szCs w:val="24"/>
          <w:u w:val="single"/>
        </w:rPr>
        <w:t xml:space="preserve">2. MAPA GENERAL DE LA BIBLIOGRAFÍA</w:t>
      </w:r>
    </w:p>
    <w:p>
      <w:pPr>
        <w:spacing w:after="120" w:line="276"/>
        <w:jc w:val="both"/>
      </w:pPr>
      <w:r>
        <w:rPr>
          <w:rFonts w:ascii="Times New Roman" w:cs="Times New Roman" w:eastAsia="Times New Roman" w:hAnsi="Times New Roman"/>
          <w:b w:val="false"/>
          <w:bCs w:val="false"/>
          <w:i w:val="false"/>
          <w:iCs w:val="false"/>
          <w:sz w:val="24"/>
          <w:szCs w:val="24"/>
        </w:rPr>
        <w:t xml:space="preserve">Las fuentes se agrupan en cuatro bloques según la pregunta que resuelven. Un modelo térmico creíble necesita al menos una referencia sólida de cada bloque: sin el bloque I el código no es confiable, sin el II se reinventa lo ya resuelto, sin el III los resultados no significan nada numéricamente, y sin el IV el perfil térmico calculado no se puede convertir en una decisión operativa.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Bloque</w:t>
            </w:r>
          </w:p>
        </w:tc>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Pregunta que responde</w:t>
            </w:r>
          </w:p>
        </w:tc>
        <w:tc>
          <w:tcPr>
            <w:tcW w:type="pct" w:w="4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Referencias principales</w:t>
            </w:r>
          </w:p>
        </w:tc>
      </w:tr>
      <w:tr>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 Fundamento físico y numérico</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¿Cómo se plantea y se resuelve numéricamente la conducción transitoria en una pared multicapa?</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Carslaw y Jaeger (1959); Patankar (1980); Özışık et al. (2017); Incropera et al. (2011); Poirier y Geiger (2016); Mazumdar y Evans (2010)</w:t>
            </w:r>
          </w:p>
        </w:tc>
      </w:tr>
      <w:tr>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II. Modelos térmicos de olla</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¿Cómo se ha modelado específicamente la olla, con qué condiciones de frontera y con qué resultados?</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Fredman (2000a, 2000b); Fredman et al. (1999); Volkova y Janke (2003); Zimmer et al. (2008); Glaser et al. (2011); Santos et al. (2018); Campos et al. (2020); Mäkelä et al. (2023); Austin et al. (1992)</w:t>
            </w:r>
          </w:p>
        </w:tc>
      </w:tr>
      <w:tr>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III. Propiedades del refractario</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 dónde salen k, ρ, cp y ε, y con qué incertidumbre?</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Schacht (2004); Harbison-Walker (2005); Sarkar (2016); ASTM C1113; ASTM C20; Campos et al. (2020)</w:t>
            </w:r>
          </w:p>
        </w:tc>
      </w:tr>
      <w:tr>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IV. Criterios de falla</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¿Contra qué se compara el perfil térmico calculado para decidir el tiempo de precalentamiento?</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Kingery (1955); Hasselman (1969); Ali et al. (2020); ASTM C1171</w:t>
            </w:r>
          </w:p>
        </w:tc>
      </w:tr>
    </w:tbl>
    <w:p>
      <w:pPr>
        <w:spacing w:after="120"/>
      </w:pPr>
      <w:r>
        <w:rPr>
          <w:rFonts w:ascii="Times New Roman" w:cs="Times New Roman" w:eastAsia="Times New Roman" w:hAnsi="Times New Roman"/>
          <w:sz w:val="24"/>
          <w:szCs w:val="24"/>
        </w:rPr>
        <w:t xml:space="preserve"/>
      </w:r>
    </w:p>
    <w:p>
      <w:pPr>
        <w:spacing w:after="200" w:before="360"/>
        <w:jc w:val="center"/>
      </w:pPr>
      <w:r>
        <w:rPr>
          <w:rFonts w:ascii="Times New Roman" w:cs="Times New Roman" w:eastAsia="Times New Roman" w:hAnsi="Times New Roman"/>
          <w:b/>
          <w:bCs/>
          <w:sz w:val="24"/>
          <w:szCs w:val="24"/>
          <w:u w:val="single"/>
        </w:rPr>
        <w:t xml:space="preserve">3. BLOQUE I. FUNDAMENTO FÍSICO Y NUMÉRICO DE LA CONDUCCIÓN TRANSITORIA</w:t>
      </w:r>
    </w:p>
    <w:p>
      <w:pPr>
        <w:spacing w:after="100" w:before="240"/>
        <w:jc w:val="left"/>
      </w:pPr>
      <w:r>
        <w:rPr>
          <w:rFonts w:ascii="Times New Roman" w:cs="Times New Roman" w:eastAsia="Times New Roman" w:hAnsi="Times New Roman"/>
          <w:b/>
          <w:bCs/>
          <w:sz w:val="24"/>
          <w:szCs w:val="24"/>
        </w:rPr>
        <w:t xml:space="preserve">3.1 Carslaw, H. S. y Jaeger, J. C. (1959). Conduction of Heat in Solids (2ª ed.). Oxford University Press.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Catálogo de soluciones analíticas exactas de la ecuación de conducción: sólido semiinfinito con temperatura o flujo impuesto, pared plana y cilindro hueco con convección, contacto entre dos sólidos, régimen periódico. Es la referencia clásica de la que derivan todas las cartas de Heisler y todos los casos de prueba.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Verificación del código antes de complicarlo. Se corre el programa con una sola capa y propiedades constantes y se compara contra la solución del sólido semiinfinito, T(x,t) = Ts + (Ti − Ts)·erf[x/(2√(αt))]. Si el código no reproduce esa curva con error menor al 1 %, cualquier resultado posterior con cinco capas y propiedades variables es indefendible. Además, el criterio de penetración térmica (δ ≈ 4√(αt)) permite estimar de entrada si un precalentamiento de, por ejemplo, seis horas alcanza siquiera a “ver” la capa aislante.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Únicamente la difusividad térmica α = k/(ρ·cp) de cada material y la definición explícita de un caso de verificación con propiedades constantes. No exige datos de planta, pero sí exige reservar tiempo de desarrollo para verificar antes de validar.</w:t>
      </w:r>
    </w:p>
    <w:p>
      <w:pPr>
        <w:spacing w:after="100" w:before="240"/>
        <w:jc w:val="left"/>
      </w:pPr>
      <w:r>
        <w:rPr>
          <w:rFonts w:ascii="Times New Roman" w:cs="Times New Roman" w:eastAsia="Times New Roman" w:hAnsi="Times New Roman"/>
          <w:b/>
          <w:bCs/>
          <w:sz w:val="24"/>
          <w:szCs w:val="24"/>
        </w:rPr>
        <w:t xml:space="preserve">3.2 Özışık, M. N., Orlande, H. R. B., Colaço, M. J. y Cotta, R. M. (2017). Finite Difference Methods in Heat Transfer (2ª ed.). CRC Press.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Formulación completa en diferencias finitas del problema de conducción transitoria: esquemas explícito, implícito y Crank–Nicolson; discretización de nodos frontera con convección y radiación; nodos de interfaz entre materiales distintos; criterios de estabilidad y consistencia; solución de sistemas tridiagonales por el algoritmo de Thomas (TDMA).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Es el recetario directo del código. Para este problema conviene el esquema implícito resuelto con TDMA: el esquema explícito impone Δt ≤ Δx²/(2α), y con una capa aislante de baja difusividad y una malla fina esa restricción vuelve impráctico simular ciclos de varias horas. El texto también da la discretización correcta del nodo de interfaz mediante balance de energía, que es donde más errores se cometen en revestimientos multicapa.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Definir el tamaño de malla Δx por capa (al menos cinco a diez nodos en la capa más delgada), el paso de tiempo Δt, y —si se usan propiedades dependientes de la temperatura— un lazo iterativo por paso de tiempo con su tolerancia de convergencia. Obliga además a documentar el estudio de independencia de malla.</w:t>
      </w:r>
    </w:p>
    <w:p>
      <w:pPr>
        <w:spacing w:after="100" w:before="240"/>
        <w:jc w:val="left"/>
      </w:pPr>
      <w:r>
        <w:rPr>
          <w:rFonts w:ascii="Times New Roman" w:cs="Times New Roman" w:eastAsia="Times New Roman" w:hAnsi="Times New Roman"/>
          <w:b/>
          <w:bCs/>
          <w:sz w:val="24"/>
          <w:szCs w:val="24"/>
        </w:rPr>
        <w:t xml:space="preserve">3.3 Patankar, S. V. (1980). Numerical Heat Transfer and Fluid Flow. Hemisphere Publishing.</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El método de volumen finito y su formulación conservativa, el tratamiento de la conductividad en la cara entre volúmenes de control con materiales distintos mediante media armónica, la linealización de términos fuente y las condiciones de frontera tipo Robin.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En un revestimiento donde k pasa de aproximadamente 2–10 W·m⁻¹·K⁻¹ en la capa de trabajo a 0.1–0.3 W·m⁻¹·K⁻¹ en el aislante, la elección de la media armónica frente a la media aritmética en la interfaz es la diferencia entre un modelo que conserva la energía y uno que sobreestima sistemáticamente el flujo hacia la coraza. Se recomienda formular el modelo 1D en volumen finito, no en diferencias finitas nodales, precisamente por esa propiedad conservativa.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Que las fronteras físicas entre capas coincidan exactamente con caras de volumen de control (la malla debe construirse capa por capa, no de forma uniforme sobre el espesor total), y que se implemente un balance global de energía como comprobación permanente del cálculo.</w:t>
      </w:r>
    </w:p>
    <w:p>
      <w:pPr>
        <w:spacing w:after="100" w:before="240"/>
        <w:jc w:val="left"/>
      </w:pPr>
      <w:r>
        <w:rPr>
          <w:rFonts w:ascii="Times New Roman" w:cs="Times New Roman" w:eastAsia="Times New Roman" w:hAnsi="Times New Roman"/>
          <w:b/>
          <w:bCs/>
          <w:sz w:val="24"/>
          <w:szCs w:val="24"/>
        </w:rPr>
        <w:t xml:space="preserve">3.4 Incropera, F. P., DeWitt, D. P., Bergman, T. L. y Lavine, A. S. (2011). Fundamentals of Heat and Mass Transfer (7ª ed.). John Wiley &amp; Sons.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Correlaciones de convección natural para cilindros verticales y placas (Churchill–Chu), intercambio radiativo entre superficies grises y factores de forma, resistencia térmica de contacto, y el marco adimensional (Biot, Fourier, Rayleigh) para justificar simplificaciones.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Cierra las condiciones de frontera, que es la parte del modelo donde realmente se juega la precisión. En la cara fría: q" = h_conv·(T_s − T_∞) + ε·σ·(T_s⁴ − T_alr⁴), con h_conv de convección natural sobre cilindro vertical. En la cara caliente: radiación desde la llama y las paredes durante el precalentamiento, y convección desde el baño durante el servicio. Todo lo que no es conducción pura sale de este texto.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Temperatura ambiente de la nave, emisividad de la coraza (que cambia mucho entre acero pintado, oxidado o con salpicadura), altura y diámetro exterior de la olla, y las temperaturas de referencia del entorno radiante. Exige también decidir si la coraza se trata como superficie gris difusa.</w:t>
      </w:r>
    </w:p>
    <w:p>
      <w:pPr>
        <w:spacing w:after="100" w:before="240"/>
        <w:jc w:val="left"/>
      </w:pPr>
      <w:r>
        <w:rPr>
          <w:rFonts w:ascii="Times New Roman" w:cs="Times New Roman" w:eastAsia="Times New Roman" w:hAnsi="Times New Roman"/>
          <w:b/>
          <w:bCs/>
          <w:sz w:val="24"/>
          <w:szCs w:val="24"/>
        </w:rPr>
        <w:t xml:space="preserve">3.5 Poirier, D. R. y Geiger, G. H. (2016). Transport Phenomena in Materials Processing (2ª ed.). Springer/TMS. — Mazumdar, D. y Evans, J. W. (2010). Modeling of Steelmaking Processes. CRC Press.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Aplicación del transporte de calor a procesos metalúrgicos reales: balances macroscópicos de energía, acoplamiento entre el baño metálico y el refractario, criterios formales de reducción dimensional y análisis de escalas de tiempo. Mazumdar y Evans añaden el contexto específico de los procesos de aceración y la discusión sobre qué se gana y qué se pierde al simplificar un modelo.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Proporcionan la justificación formal —y no meramente intuitiva— de reducir el problema a una dimensión: comparación entre espesor y altura, número de Biot del baño, y tiempos característicos de conducción frente a la duración de cada etapa del ciclo. Dan además el marco para acoplar el acero líquido como un nodo de capacitancia concentrada al nodo de cara caliente, que es la forma habitual de estimar la pérdida de temperatura del acero sin resolver la convección del baño.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Masa de acero por colada, calor específico del acero líquido, área mojada del revestimiento, coeficiente de transferencia baño-pared, y una decisión declarada por escrito sobre si el baño se trata como isotérmico.</w:t>
      </w:r>
    </w:p>
    <w:p>
      <w:pPr>
        <w:spacing w:after="200" w:before="360"/>
        <w:jc w:val="center"/>
      </w:pPr>
      <w:r>
        <w:rPr>
          <w:rFonts w:ascii="Times New Roman" w:cs="Times New Roman" w:eastAsia="Times New Roman" w:hAnsi="Times New Roman"/>
          <w:b/>
          <w:bCs/>
          <w:sz w:val="24"/>
          <w:szCs w:val="24"/>
          <w:u w:val="single"/>
        </w:rPr>
        <w:t xml:space="preserve">4. BLOQUE II. MODELOS TÉRMICOS DE OLLA PUBLICADOS</w:t>
      </w:r>
    </w:p>
    <w:p>
      <w:pPr>
        <w:spacing w:after="120" w:line="276"/>
        <w:jc w:val="both"/>
      </w:pPr>
      <w:r>
        <w:rPr>
          <w:rFonts w:ascii="Times New Roman" w:cs="Times New Roman" w:eastAsia="Times New Roman" w:hAnsi="Times New Roman"/>
          <w:b w:val="false"/>
          <w:bCs w:val="false"/>
          <w:i w:val="false"/>
          <w:iCs w:val="false"/>
          <w:sz w:val="24"/>
          <w:szCs w:val="24"/>
        </w:rPr>
        <w:t xml:space="preserve">Este es el núcleo de la revisión. Las nueve referencias siguientes cubren, en conjunto, la evolución del tema: desde la síntesis del estado del arte hasta los modelos recientes validados en planta, pasando por el caso más parecido al modelo objetivo, que es el de Volkova y Janke, y por la referencia específica de precalentamiento, que es la de Glaser.</w:t>
      </w:r>
    </w:p>
    <w:p>
      <w:pPr>
        <w:spacing w:after="100" w:before="240"/>
        <w:jc w:val="left"/>
      </w:pPr>
      <w:r>
        <w:rPr>
          <w:rFonts w:ascii="Times New Roman" w:cs="Times New Roman" w:eastAsia="Times New Roman" w:hAnsi="Times New Roman"/>
          <w:b/>
          <w:bCs/>
          <w:sz w:val="24"/>
          <w:szCs w:val="24"/>
        </w:rPr>
        <w:t xml:space="preserve">4.1 Fredman, T. P. (2000a). Heat transfer in steelmaking ladle refractories and steel temperature: A literature review. Scandinavian Journal of Metallurgy, 29(6), 232–258.</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Revisión crítica de varias décadas de modelado térmico de ollas: qué dimensionalidad se empleó en cada trabajo, qué condiciones de frontera se usaron, qué valores de coeficientes de transferencia y de propiedades se reportaron, y contra qué se validó. Incluye la comparación sistemática entre autores que ningún otro trabajo hace.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Es la puerta de entrada obligada y la primera lectura recomendada. Ahorra reconstruir el estado del arte a mano y, en la práctica, funciona como fuente de valores de referencia para h y ε cuando todavía no hay datos propios. Sirve también para argumentar en el reporte por qué un modelo 1D transitorio es suficiente para el objetivo de precalentamiento, citando lo que otros autores encontraron al pasar a 2D.</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Ninguno de planta. Su único requisito es de método: leerla antes de fijar las hipótesis, para no repetir simplificaciones que la literatura ya descartó ni gastar esfuerzo en refinamientos que se demostraron irrelevantes.</w:t>
      </w:r>
    </w:p>
    <w:p>
      <w:pPr>
        <w:spacing w:after="100" w:before="240"/>
        <w:jc w:val="left"/>
      </w:pPr>
      <w:r>
        <w:rPr>
          <w:rFonts w:ascii="Times New Roman" w:cs="Times New Roman" w:eastAsia="Times New Roman" w:hAnsi="Times New Roman"/>
          <w:b/>
          <w:bCs/>
          <w:sz w:val="24"/>
          <w:szCs w:val="24"/>
        </w:rPr>
        <w:t xml:space="preserve">4.2 Fredman, T. P., Torrkulla, J. y Saxén, H. (1999). Two-dimensional dynamic simulation of the thermal state of ladles. Metallurgical and Materials Transactions B, 30(2), 323–330.</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Modelo bidimensional dinámico del estado térmico de la olla, validado contra mediciones de temperatura en una olla industrial en operación. Cuantifica el efecto del tiempo de espera, de la elección de material y del espesor de las capas refractarias sobre la evolución de la temperatura.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Referencia de contraste para acotar el error del modelo 1D. Permite delimitar el dominio de validez con argumento publicado: en la zona media de la pared la hipótesis radial es aceptable, mientras que en el fondo y en la esquina pared-fondo los gradientes axiales dejan de ser despreciables. También sirve como hoja de ruta si más adelante el modelo se extiende a 2D.</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Si se quiere reproducir o comparar contra su caso, se necesita la geometría completa con espesores por zona, el ciclo de operación con sus tiempos reales y mediciones de temperatura de coraza. Si solo se usa como contraste cualitativo, basta con documentar en qué zona de la olla se aplica el modelo 1D.</w:t>
      </w:r>
    </w:p>
    <w:p>
      <w:pPr>
        <w:spacing w:after="100" w:before="240"/>
        <w:jc w:val="left"/>
      </w:pPr>
      <w:r>
        <w:rPr>
          <w:rFonts w:ascii="Times New Roman" w:cs="Times New Roman" w:eastAsia="Times New Roman" w:hAnsi="Times New Roman"/>
          <w:b/>
          <w:bCs/>
          <w:sz w:val="24"/>
          <w:szCs w:val="24"/>
        </w:rPr>
        <w:t xml:space="preserve">4.3 Fredman, T. P. (2000b). A model for rapid computation of dynamic heat conduction in steelmaking ladle linings. IFAC Proceedings Volumes, 33(22), 369–373.</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Modelo reducido de conducción dinámica en el revestimiento, formulado explícitamente para cómputo rápido y uso en línea, es decir, para acompañar al proceso en tiempo real y no solo para análisis fuera de línea.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Plantilla para la versión operativa del modelo: la que eventualmente correría junto al proceso para decidir cuánto precalentar la siguiente olla en función de su historia térmica. Muestra cómo sacrificar resolución espacial sin perder la dinámica del ciclo, que es exactamente el compromiso que hay que resolver si el modelo va a usarse en piso.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Definir con antelación qué se sacrifica —número de nodos, propiedades constantes por tramo de temperatura, linealización de la radiación— y fijar un criterio cuantitativo de error aceptable respecto al modelo detallado. Requiere haber construido primero el modelo detallado que sirve de patrón.</w:t>
      </w:r>
    </w:p>
    <w:p>
      <w:pPr>
        <w:spacing w:after="100" w:before="240"/>
        <w:jc w:val="left"/>
      </w:pPr>
      <w:r>
        <w:rPr>
          <w:rFonts w:ascii="Times New Roman" w:cs="Times New Roman" w:eastAsia="Times New Roman" w:hAnsi="Times New Roman"/>
          <w:b/>
          <w:bCs/>
          <w:sz w:val="24"/>
          <w:szCs w:val="24"/>
        </w:rPr>
        <w:t xml:space="preserve">4.4 Volkova, O. y Janke, D. (2003). Modelling of temperature distribution in refractory ladle lining for steelmaking. ISIJ International, 43(8), 1185–1190.</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Modelo numérico basado en la ecuación de Fourier que calcula la distribución de temperatura en el revestimiento durante las distintas etapas del ciclo —olla llena, vaciado, olla vacía y precalentamiento— validado con datos experimentales publicados para revestimiento de dolomita, y con capacidad de considerar el desgaste del material y distintas composiciones de revestimiento.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Es la referencia más cercana al modelo objetivo y conviene tratarla como el patrón a replicar en la primera versión. Aporta dos cosas concretas: la estructura del cálculo por etapas, donde cada etapa es un conjunto de condiciones de frontera aplicado durante un intervalo definido y cuyo estado final es la condición inicial de la siguiente; y la forma de introducir el desgaste como reducción progresiva del espesor de la capa de trabajo, lo que enlaza con el trabajo previo sobre vida de campaña.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Espesor de cada capa y su evolución con el número de coladas; propiedades termofísicas del refractario específico instalado; duración real de cada etapa del ciclo, incluidos los tiempos muertos; y datos de temperatura de coraza o de cara caliente para validar. Es la referencia que más exige en términos de datos de planta, y por eso mismo la que más obliga a organizar el registro de información.</w:t>
      </w:r>
    </w:p>
    <w:p>
      <w:pPr>
        <w:spacing w:after="100" w:before="240"/>
        <w:jc w:val="left"/>
      </w:pPr>
      <w:r>
        <w:rPr>
          <w:rFonts w:ascii="Times New Roman" w:cs="Times New Roman" w:eastAsia="Times New Roman" w:hAnsi="Times New Roman"/>
          <w:b/>
          <w:bCs/>
          <w:sz w:val="24"/>
          <w:szCs w:val="24"/>
        </w:rPr>
        <w:t xml:space="preserve">4.5 Zimmer, A., Lima, Á. N. C., Trommer, R. M., Bragança, S. R. y Bergmann, C. P. (2008). Heat transfer in steelmaking ladle. Journal of Iron and Steel Research International, 15(3), 11–14.</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Campaña de medición industrial: temperaturas del acero a lo largo de las etapas de refinación, temperaturas en el revestimiento y en la coraza, y el perfil térmico entre cara caliente y cara fría en la línea de escoria. Evalúa el efecto de la resistencia térmica de contacto entre capas e identifica las mayores pérdidas de calor en el sangrado y en el tratamiento al vacío.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Fuente de datos de validación con perfil medido a través del espesor, que es justamente lo que el modelo 1D predice. Y, sobre todo, evidencia de que la resistencia térmica de contacto entre capas no es despreciable: si el modelo asume contacto perfecto, sobreestimará la temperatura de coraza. Recomienda incorporar R"c como parámetro del modelo, aunque inicialmente sea de ajuste.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Si se quiere validar con la olla de la planta, obliga a definir un plan de instrumentación propio: termopares en la coraza en al menos dos alturas, pirometría de cara caliente con la olla vacía y registro sincronizado de los tiempos del ciclo. Exige además asignar un valor inicial de resistencia de contacto por interfaz.</w:t>
      </w:r>
    </w:p>
    <w:p>
      <w:pPr>
        <w:spacing w:after="100" w:before="240"/>
        <w:jc w:val="left"/>
      </w:pPr>
      <w:r>
        <w:rPr>
          <w:rFonts w:ascii="Times New Roman" w:cs="Times New Roman" w:eastAsia="Times New Roman" w:hAnsi="Times New Roman"/>
          <w:b/>
          <w:bCs/>
          <w:sz w:val="24"/>
          <w:szCs w:val="24"/>
        </w:rPr>
        <w:t xml:space="preserve">4.6 Glaser, B., Görnerup, M. y Sichen, D. (2011). Thermal modelling of the ladle preheating process. Steel Research International, 82(12), 1425–1434.</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Modelo térmico dedicado específicamente al proceso de precalentamiento, con tratamiento de la transferencia de calor desde el quemador —radiación de la llama y de los gases hacia la cara caliente, más convección— y de la evolución del perfil de temperatura en el espesor del revestimiento durante el calentamiento.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Es la referencia central para el objetivo final del trabajo. De aquí se toma la condición de frontera de la etapa de precalentamiento y, más importante, el criterio de que el estado de precalentamiento debe juzgarse por el perfil completo y no por la temperatura de la cara caliente, que es lo único que suele medirse y lo que induce a error: una cara caliente a 1000 °C puede convivir con una capa de seguridad todavía fría, y esa es exactamente la situación que produce enfriamiento del acero y apertura de juntas.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Potencia y curva de operación del quemador, temperatura de los gases de combustión, emisividad efectiva del recinto formado por la olla y la tapa, y —decisión propia del proyecto— la definición cuantitativa de “olla precalentada”: por ejemplo, temperatura mínima en la interfaz entre capa de trabajo y capa de seguridad, o gradiente máximo admisible a través de la capa de trabajo.</w:t>
      </w:r>
    </w:p>
    <w:p>
      <w:pPr>
        <w:spacing w:after="100" w:before="240"/>
        <w:jc w:val="left"/>
      </w:pPr>
      <w:r>
        <w:rPr>
          <w:rFonts w:ascii="Times New Roman" w:cs="Times New Roman" w:eastAsia="Times New Roman" w:hAnsi="Times New Roman"/>
          <w:b/>
          <w:bCs/>
          <w:sz w:val="24"/>
          <w:szCs w:val="24"/>
        </w:rPr>
        <w:t xml:space="preserve">4.7 Santos, M. F., Moreira, M. H., Campos, M. G. G., Pelissari, P. I. B. G. B., Angélico, R. A., Sako, E. Y., Sinnema, S. y Pandolfelli, V. C. (2018). Enhanced numerical tool to evaluate steel ladle thermal losses. Ceramics International, 44(11), 12831–12840.</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Herramienta numérica para evaluar las pérdidas térmicas de la olla con tratamiento explícito de las propiedades dependientes de la temperatura y comparación entre diseños de revestimiento. Representa la escuela brasileña (UFSCar) que ha producido la serie de trabajos más consistente sobre eficiencia térmica de revestimientos.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Metodología para convertir el perfil térmico en un balance de energía por etapa y, de ahí, en pérdida de temperatura del acero, que es una de las tres metas del proyecto. Es también el modelo a seguir para comparar alternativas de revestimiento una vez que el código funcione.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Propiedades termofísicas en función de la temperatura para todas las capas, no solo para la de trabajo; definición completa del ciclo; y una decisión explícita sobre si pared y fondo se resuelven como dos problemas 1D independientes o si basta con la pared.</w:t>
      </w:r>
    </w:p>
    <w:p>
      <w:pPr>
        <w:spacing w:after="100" w:before="240"/>
        <w:jc w:val="left"/>
      </w:pPr>
      <w:r>
        <w:rPr>
          <w:rFonts w:ascii="Times New Roman" w:cs="Times New Roman" w:eastAsia="Times New Roman" w:hAnsi="Times New Roman"/>
          <w:b/>
          <w:bCs/>
          <w:sz w:val="24"/>
          <w:szCs w:val="24"/>
        </w:rPr>
        <w:t xml:space="preserve">4.8 Campos, M. G. G., Santos, M. F., Moreira, M. H., Angélico, R. A., Sako, E. Y. y Pandolfelli, V. C. (2020). Holistic view of the insulating layer on the thermal efficiency of a steel ladle lining. International Journal of Ceramic Engineering &amp; Science, 2(3), 113–129.</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Estudio sistemático del efecto de la capa aislante: su posición dentro del revestimiento, su influencia sobre la temperatura del acero, la temperatura de coraza, la energía almacenada y el consumo energético. Reporta que un aislante tipo espuma colocado en la cara caliente puede elevar la temperatura del acero alrededor de 34 °C respecto al diseño de referencia.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Define con números el compromiso central del problema: aislar más reduce la pérdida de calor del acero pero eleva la temperatura y el gradiente en la cara caliente, es decir, agrava el riesgo de choque térmico. Ese conflicto es exactamente la tensión entre dos de los tres objetivos del proyecto, y este artículo es la referencia que lo cuantifica. Aporta además valores de propiedades de capas aislantes, que son los más difíciles de conseguir.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Conocer con precisión el orden y el espesor de todas las capas, incluida la aislante y la coraza. Las propiedades del aislante son fuertemente dependientes de la temperatura y de la densidad, de modo que usar un valor único constante para el aislante invalida buena parte del resultado.</w:t>
      </w:r>
    </w:p>
    <w:p>
      <w:pPr>
        <w:spacing w:after="100" w:before="240"/>
        <w:jc w:val="left"/>
      </w:pPr>
      <w:r>
        <w:rPr>
          <w:rFonts w:ascii="Times New Roman" w:cs="Times New Roman" w:eastAsia="Times New Roman" w:hAnsi="Times New Roman"/>
          <w:b/>
          <w:bCs/>
          <w:sz w:val="24"/>
          <w:szCs w:val="24"/>
        </w:rPr>
        <w:t xml:space="preserve">4.9 Mäkelä, I., Visuri, V.-V. y Fabritius, T. (2023). A mathematical model for the thermal state of a steel ladle. Ironmaking &amp; Steelmaking, 50(7), 867–877.</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Modelo matemático reciente del estado térmico de la olla que cubre el ciclo completo de operación y está orientado a la predicción de la temperatura del acero. Representa el estado del arte actual y las prácticas de validación que hoy se consideran aceptables.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Referencia para la arquitectura del programa: cómo encadenar las etapas del ciclo, cómo arrastrar el estado térmico de un ciclo al siguiente hasta alcanzar un estado estacionario periódico, y qué nivel de comparación con datos de planta se espera hoy en una publicación. Útil también como referencia reciente que respalda la vigencia del enfoque.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Una base de datos de coladas con tiempos y temperaturas de proceso, y disciplina en el registro del ciclo real incluyendo los tiempos muertos, que son los que más dispersan la temperatura de la olla y los más difíciles de obtener después.</w:t>
      </w:r>
    </w:p>
    <w:p>
      <w:pPr>
        <w:spacing w:after="100" w:before="240"/>
        <w:jc w:val="left"/>
      </w:pPr>
      <w:r>
        <w:rPr>
          <w:rFonts w:ascii="Times New Roman" w:cs="Times New Roman" w:eastAsia="Times New Roman" w:hAnsi="Times New Roman"/>
          <w:b/>
          <w:bCs/>
          <w:sz w:val="24"/>
          <w:szCs w:val="24"/>
        </w:rPr>
        <w:t xml:space="preserve">4.10 Austin, P. R., Camplin, J. M., Herbertson, J. y Taggart, I. J. (1992). Mathematical modelling of thermal stratification and drainage of steel ladles. ISIJ International, 32(2), 196–202.</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Modelo del comportamiento del acero líquido dentro de la olla durante la espera y el vaciado. Muestra que la estratificación térmica se desarrolla por convección natural y que su magnitud se correlaciona linealmente con la velocidad de enfriamiento, con independencia de la geometría de la olla; validado con pruebas de planta.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Permite decidir con fundamento —y no por comodidad— si el baño puede tratarse como isotérmico, que es la hipótesis estándar de cualquier modelo 1D del revestimiento, y saber qué error se comete al hacerlo. Cobra importancia si el modelo llega a usarse para predecir la temperatura de vaciado y no solo el perfil del refractario.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Si se incorpora la estratificación, exige tiempos de espera, presencia o ausencia de agitación con gas inerte y geometría del baño. Si no se incorpora, exige declarar explícitamente la hipótesis de baño isotérmico y citar este trabajo como cota del error asumido.</w:t>
      </w:r>
    </w:p>
    <w:p>
      <w:pPr>
        <w:spacing w:after="200" w:before="360"/>
        <w:jc w:val="center"/>
      </w:pPr>
      <w:r>
        <w:rPr>
          <w:rFonts w:ascii="Times New Roman" w:cs="Times New Roman" w:eastAsia="Times New Roman" w:hAnsi="Times New Roman"/>
          <w:b/>
          <w:bCs/>
          <w:sz w:val="24"/>
          <w:szCs w:val="24"/>
          <w:u w:val="single"/>
        </w:rPr>
        <w:t xml:space="preserve">5. BLOQUE III. PROPIEDADES DEL REFRACTARIO Y SU MEDICIÓN</w:t>
      </w:r>
    </w:p>
    <w:p>
      <w:pPr>
        <w:spacing w:after="120" w:line="276"/>
        <w:jc w:val="both"/>
      </w:pPr>
      <w:r>
        <w:rPr>
          <w:rFonts w:ascii="Times New Roman" w:cs="Times New Roman" w:eastAsia="Times New Roman" w:hAnsi="Times New Roman"/>
          <w:b w:val="false"/>
          <w:bCs w:val="false"/>
          <w:i w:val="false"/>
          <w:iCs w:val="false"/>
          <w:sz w:val="24"/>
          <w:szCs w:val="24"/>
        </w:rPr>
        <w:t xml:space="preserve">Esta es la parte del modelo que más frecuentemente se subestima. La estructura del código se construye en semanas; conseguir k(T), ρ y cp confiables para cada capa toma más tiempo y determina por completo la utilidad del resultado. Una diferencia del 30 % en la conductividad del aislante cambia el tiempo de precalentamiento calculado más que cualquier refinamiento numérico.</w:t>
      </w:r>
    </w:p>
    <w:p>
      <w:pPr>
        <w:spacing w:after="100" w:before="240"/>
        <w:jc w:val="left"/>
      </w:pPr>
      <w:r>
        <w:rPr>
          <w:rFonts w:ascii="Times New Roman" w:cs="Times New Roman" w:eastAsia="Times New Roman" w:hAnsi="Times New Roman"/>
          <w:b/>
          <w:bCs/>
          <w:sz w:val="24"/>
          <w:szCs w:val="24"/>
        </w:rPr>
        <w:t xml:space="preserve">5.1 Schacht, C. A. (Ed.) (2004). Refractories Handbook. Marcel Dekker.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Propiedades termomecánicas de las principales familias de refractarios —alta alúmina, MgO-C, alúmina-espinel, dolomíticos, aislantes—, comportamiento de la mampostería y sus juntas, y criterios de diseño de revestimientos.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Primera fuente de valores de k(T), ρ, cp y expansión térmica cuando no se dispone de la ficha técnica del proveedor. El capítulo de diseño de revestimiento explica además por qué las juntas se abren durante el enfriamiento, que es el mecanismo detrás del riesgo de infiltración.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Identificar con exactitud la familia y calidad del refractario de cada capa de la olla real. Los valores de manual deben usarse como provisionales y quedar marcados como tales en el código, para poder sustituirlos por datos del proveedor sin rehacer el modelo.</w:t>
      </w:r>
    </w:p>
    <w:p>
      <w:pPr>
        <w:spacing w:after="100" w:before="240"/>
        <w:jc w:val="left"/>
      </w:pPr>
      <w:r>
        <w:rPr>
          <w:rFonts w:ascii="Times New Roman" w:cs="Times New Roman" w:eastAsia="Times New Roman" w:hAnsi="Times New Roman"/>
          <w:b/>
          <w:bCs/>
          <w:sz w:val="24"/>
          <w:szCs w:val="24"/>
        </w:rPr>
        <w:t xml:space="preserve">5.2 Harbison-Walker (2005). Handbook of Refractory Practice.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Práctica industrial de selección de materiales por zona de la olla —línea de escoria, pared, fondo, zona de impacto— y procedimientos recomendados de secado y calentamiento inicial, con curvas de calentamiento por tipo de material.</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Aporta las curvas de calentamiento recomendadas por el fabricante, que son el punto de comparación natural del tiempo mínimo que arroje el modelo. El resultado del modelo debe reproducir o justificar una mejora sobre esas rampas; si las contradice, hay que explicar por qué antes de llevarlo a piso.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Saber si el revestimiento es de ladrillo o monolítico. En el caso de monolíticos, el primer calentamiento involucra evaporación de agua libre y deshidratación, procesos que consumen energía y no están en la ecuación de Fourier simple; ignorarlos subestima el tiempo requerido.</w:t>
      </w:r>
    </w:p>
    <w:p>
      <w:pPr>
        <w:spacing w:after="100" w:before="240"/>
        <w:jc w:val="left"/>
      </w:pPr>
      <w:r>
        <w:rPr>
          <w:rFonts w:ascii="Times New Roman" w:cs="Times New Roman" w:eastAsia="Times New Roman" w:hAnsi="Times New Roman"/>
          <w:b/>
          <w:bCs/>
          <w:sz w:val="24"/>
          <w:szCs w:val="24"/>
        </w:rPr>
        <w:t xml:space="preserve">5.3 Sarkar, R. (2016). Refractory Technology: Fundamentals and Applications. CRC Press.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Base de ciencia de materiales refractarios: relación entre porosidad, densidad y conductividad térmica, comportamiento a alta temperatura y mecanismos de degradación.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Permite interpretar y estimar cómo cambia k con la temperatura y con el estado del material: un refractario infiltrado por escoria o parcialmente desgastado no conduce igual que uno nuevo. Es el argumento técnico para usar k(T) en lugar de k constante y para revisar las propiedades conforme avanza la campaña.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Datos de porosidad aparente y densidad aparente de cada capa, que suelen estar en la ficha técnica y, si no, se obtienen por ensayo.</w:t>
      </w:r>
    </w:p>
    <w:p>
      <w:pPr>
        <w:spacing w:after="100" w:before="240"/>
        <w:jc w:val="left"/>
      </w:pPr>
      <w:r>
        <w:rPr>
          <w:rFonts w:ascii="Times New Roman" w:cs="Times New Roman" w:eastAsia="Times New Roman" w:hAnsi="Times New Roman"/>
          <w:b/>
          <w:bCs/>
          <w:sz w:val="24"/>
          <w:szCs w:val="24"/>
        </w:rPr>
        <w:t xml:space="preserve">5.4 ASTM C1113/C1113M. Standard Test Method for Thermal Conductivity of Refractories by Hot Wire (Platinum Resistance Thermometer Technique).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Método normalizado para medir la conductividad térmica de refractarios a alta temperatura mediante la técnica del alambre caliente.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Si se van a medir propiedades propias, este es el método a citar en la metodología. Si se toman datos del proveedor, permite verificar bajo qué norma y en qué rango de temperatura fueron obtenidos: comparar o mezclar valores medidos con métodos distintos es una de las fuentes de error más comunes y menos declaradas.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Acceso a laboratorio con capacidad de alta temperatura, o bien exigir al proveedor el reporte de ensayo con la norma aplicada y el rango cubierto, no solo un valor único a temperatura ambiente.</w:t>
      </w:r>
    </w:p>
    <w:p>
      <w:pPr>
        <w:spacing w:after="100" w:before="240"/>
        <w:jc w:val="left"/>
      </w:pPr>
      <w:r>
        <w:rPr>
          <w:rFonts w:ascii="Times New Roman" w:cs="Times New Roman" w:eastAsia="Times New Roman" w:hAnsi="Times New Roman"/>
          <w:b/>
          <w:bCs/>
          <w:sz w:val="24"/>
          <w:szCs w:val="24"/>
        </w:rPr>
        <w:t xml:space="preserve">5.5 ASTM C20. Standard Test Methods for Apparent Porosity, Water Absorption, Apparent Specific Gravity, and Bulk Density of Burned Refractory Brick and Shapes by Boiling Water.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Método normalizado para determinar densidad aparente y porosidad aparente de ladrillo refractario.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La densidad aparente es entrada directa del término ρ·cp·∂T/∂t, es decir, gobierna la inercia térmica y por lo tanto el tiempo de precalentamiento. La porosidad permite estimar k por correlación cuando no hay medición disponible. Para el calor específico, el ensayo equivalente es el de calorimetría diferencial de barrido (ASTM E1269) o el valor de ficha técnica.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Muestras del refractario efectivamente instalado —no de un material equivalente de catálogo— y, de preferencia, muestras tanto nuevas como usadas para ver el efecto de la campaña.</w:t>
      </w:r>
    </w:p>
    <w:p>
      <w:pPr>
        <w:spacing w:after="200" w:before="360"/>
        <w:jc w:val="center"/>
      </w:pPr>
      <w:r>
        <w:rPr>
          <w:rFonts w:ascii="Times New Roman" w:cs="Times New Roman" w:eastAsia="Times New Roman" w:hAnsi="Times New Roman"/>
          <w:b/>
          <w:bCs/>
          <w:sz w:val="24"/>
          <w:szCs w:val="24"/>
          <w:u w:val="single"/>
        </w:rPr>
        <w:t xml:space="preserve">6. BLOQUE IV. CRITERIOS DE FALLA: CHOQUE TÉRMICO, JUNTAS E INFILTRACIÓN</w:t>
      </w:r>
    </w:p>
    <w:p>
      <w:pPr>
        <w:spacing w:after="120" w:line="276"/>
        <w:jc w:val="both"/>
      </w:pPr>
      <w:r>
        <w:rPr>
          <w:rFonts w:ascii="Times New Roman" w:cs="Times New Roman" w:eastAsia="Times New Roman" w:hAnsi="Times New Roman"/>
          <w:b w:val="false"/>
          <w:bCs w:val="false"/>
          <w:i w:val="false"/>
          <w:iCs w:val="false"/>
          <w:sz w:val="24"/>
          <w:szCs w:val="24"/>
        </w:rPr>
        <w:t xml:space="preserve">El modelo térmico entrega un campo T(x,t). Por sí solo no dice cuánto hay que precalentar: hace falta un criterio que convierta ese campo en una decisión. Las referencias de este bloque son las que cierran el trabajo y las que convierten un ejercicio de cálculo en una recomendación operativa.</w:t>
      </w:r>
    </w:p>
    <w:p>
      <w:pPr>
        <w:spacing w:after="100" w:before="240"/>
        <w:jc w:val="left"/>
      </w:pPr>
      <w:r>
        <w:rPr>
          <w:rFonts w:ascii="Times New Roman" w:cs="Times New Roman" w:eastAsia="Times New Roman" w:hAnsi="Times New Roman"/>
          <w:b/>
          <w:bCs/>
          <w:sz w:val="24"/>
          <w:szCs w:val="24"/>
        </w:rPr>
        <w:t xml:space="preserve">6.1 Kingery, W. D. (1955). Factors affecting thermal stress resistance of ceramic materials. Journal of the American Ceramic Society, 38(1), 3–15.</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Los parámetros clásicos de resistencia al choque térmico, R = σ(1 − ν)/(E·α) y R' = k·σ(1 − ν)/(E·α), que expresan el salto de temperatura máximo admisible antes de la fractura en función de las propiedades del material.</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Convierte el gradiente calculado en un criterio de aceptación: si el modelo predice a través de la capa de trabajo un ΔT mayor que el ΔT crítico del material, la rampa de precalentamiento es demasiado agresiva. Es el puente directo entre el perfil térmico y el objetivo de evitar el choque térmico, y permite expresar el resultado como una velocidad máxima de calentamiento en °C/h.</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Módulo de Young, coeficiente de Poisson, coeficiente de expansión térmica y resistencia mecánica (módulo de ruptura) del refractario, idealmente en función de la temperatura. Estos datos suelen faltar en la ficha técnica y hay que solicitarlos expresamente al proveedor.</w:t>
      </w:r>
    </w:p>
    <w:p>
      <w:pPr>
        <w:spacing w:after="100" w:before="240"/>
        <w:jc w:val="left"/>
      </w:pPr>
      <w:r>
        <w:rPr>
          <w:rFonts w:ascii="Times New Roman" w:cs="Times New Roman" w:eastAsia="Times New Roman" w:hAnsi="Times New Roman"/>
          <w:b/>
          <w:bCs/>
          <w:sz w:val="24"/>
          <w:szCs w:val="24"/>
        </w:rPr>
        <w:t xml:space="preserve">6.2 Hasselman, D. P. H. (1969). Unified theory of thermal shock fracture initiation and crack propagation in brittle ceramics. Journal of the American Ceramic Society, 52(11), 600–604.</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Teoría unificada que distingue la iniciación de grieta de su propagación y explica por qué materiales con microgrietas preexistentes —como el MgO-C— toleran choques térmicos que fracturarían a un material más resistente pero más frágil.</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Matiza el criterio anterior y evita una conclusión demasiado conservadora. En un revestimiento de trabajo lo relevante no es evitar toda microfisura, sino evitar el daño progresivo por ciclado. Justifica que el criterio de precalentamiento se formule como rampa máxima sostenida y como número de ciclos tolerables, no solo como un ΔT instantáneo.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Energía de fractura o tenacidad del material y, en la práctica, datos de comportamiento bajo ciclado térmico. Es la referencia que obliga a decidir si el criterio final del proyecto será conservador (Kingery) o basado en daño acumulado (Hasselman).</w:t>
      </w:r>
    </w:p>
    <w:p>
      <w:pPr>
        <w:spacing w:after="100" w:before="240"/>
        <w:jc w:val="left"/>
      </w:pPr>
      <w:r>
        <w:rPr>
          <w:rFonts w:ascii="Times New Roman" w:cs="Times New Roman" w:eastAsia="Times New Roman" w:hAnsi="Times New Roman"/>
          <w:b/>
          <w:bCs/>
          <w:sz w:val="24"/>
          <w:szCs w:val="24"/>
        </w:rPr>
        <w:t xml:space="preserve">6.3 Ali, M., Sayet, T., Gasser, A. y Blond, E. (2020). Transient thermo-mechanical analysis of steel ladle refractory linings using mechanical homogenization approach. Ceramics, 3(2), 171–189.</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Análisis termomecánico transitorio del revestimiento mediante homogeneización de la mampostería sin mortero. Demuestra que el comportamiento del conjunto es ortótropo y no lineal debido al cierre y reapertura progresiva de las juntas con la temperatura, y que los esfuerzos térmicos aumentan con la temperatura y disminuyen al aumentar el espesor de junta.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Es la referencia que conecta directamente el perfil térmico con la apertura de juntas y, por lo tanto, con el riesgo de infiltración al vaciar acero en la olla. El modelo 1D entrega T(x,t); con el coeficiente de expansión térmica de cada capa se estima la dilatación acumulada y el estado de cierre de la junta, y este trabajo da el marco para hacerlo correctamente y para saber qué tan lejos puede llevarse esa estimación.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Espesor nominal de junta en el revestimiento instalado, coeficiente de expansión térmica del ladrillo y propiedades mecánicas del conjunto. Exige también aceptar y declarar que un modelo 1D solo da una estimación de primer orden del estado de las juntas, porque el problema mecánico real es bidimensional o tridimensional.</w:t>
      </w:r>
    </w:p>
    <w:p>
      <w:pPr>
        <w:spacing w:after="100" w:before="240"/>
        <w:jc w:val="left"/>
      </w:pPr>
      <w:r>
        <w:rPr>
          <w:rFonts w:ascii="Times New Roman" w:cs="Times New Roman" w:eastAsia="Times New Roman" w:hAnsi="Times New Roman"/>
          <w:b/>
          <w:bCs/>
          <w:sz w:val="24"/>
          <w:szCs w:val="24"/>
        </w:rPr>
        <w:t xml:space="preserve">6.4 ASTM C1171. Standard Test Method for Quantitatively Measuring the Effect of Thermal Shock and Thermal Cycling on Refractories.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Aportación principal: </w:t>
      </w:r>
      <w:r>
        <w:rPr>
          <w:rFonts w:ascii="Times New Roman" w:cs="Times New Roman" w:eastAsia="Times New Roman" w:hAnsi="Times New Roman"/>
          <w:sz w:val="24"/>
          <w:szCs w:val="24"/>
        </w:rPr>
        <w:t xml:space="preserve">Método normalizado para cuantificar la degradación de un refractario sometido a choque térmico y a ciclado térmico repetido.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Uso en el modelo: </w:t>
      </w:r>
      <w:r>
        <w:rPr>
          <w:rFonts w:ascii="Times New Roman" w:cs="Times New Roman" w:eastAsia="Times New Roman" w:hAnsi="Times New Roman"/>
          <w:sz w:val="24"/>
          <w:szCs w:val="24"/>
        </w:rPr>
        <w:t xml:space="preserve">Es la vía experimental para validar el criterio de rampa máxima que resulte del modelo: se somete el material a los ΔT que el modelo predice y se mide la pérdida de propiedades. Cierra el ciclo entre cálculo y evidencia.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Requisitos que implica: </w:t>
      </w:r>
      <w:r>
        <w:rPr>
          <w:rFonts w:ascii="Times New Roman" w:cs="Times New Roman" w:eastAsia="Times New Roman" w:hAnsi="Times New Roman"/>
          <w:sz w:val="24"/>
          <w:szCs w:val="24"/>
        </w:rPr>
        <w:t xml:space="preserve">Probetas del material instalado, equipo de ciclado térmico y la definición previa de un ΔT de ensayo consistente con el que arroja el modelo, de otro modo el ensayo no es concluyente respecto a la pregunta que se quiere responder.</w:t>
      </w:r>
    </w:p>
    <w:p>
      <w:pPr>
        <w:spacing w:after="200" w:before="360"/>
        <w:jc w:val="center"/>
      </w:pPr>
      <w:r>
        <w:rPr>
          <w:rFonts w:ascii="Times New Roman" w:cs="Times New Roman" w:eastAsia="Times New Roman" w:hAnsi="Times New Roman"/>
          <w:b/>
          <w:bCs/>
          <w:sz w:val="24"/>
          <w:szCs w:val="24"/>
          <w:u w:val="single"/>
        </w:rPr>
        <w:t xml:space="preserve">7. REQUISITOS CONSOLIDADOS DE INFORMACIÓN</w:t>
      </w:r>
    </w:p>
    <w:p>
      <w:pPr>
        <w:spacing w:after="120" w:line="276"/>
        <w:jc w:val="both"/>
      </w:pPr>
      <w:r>
        <w:rPr>
          <w:rFonts w:ascii="Times New Roman" w:cs="Times New Roman" w:eastAsia="Times New Roman" w:hAnsi="Times New Roman"/>
          <w:b w:val="false"/>
          <w:bCs w:val="false"/>
          <w:i w:val="false"/>
          <w:iCs w:val="false"/>
          <w:sz w:val="24"/>
          <w:szCs w:val="24"/>
        </w:rPr>
        <w:t xml:space="preserve">La tabla siguiente reúne, en un solo lugar, todo lo que las referencias anteriores exigen tener antes de que el modelo pueda producir un número defendible. La columna de criticidad indica el impacto de un error del orden del 20 % en ese dato sobre el tiempo de precalentamiento calculado.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Dato requerido</w:t>
            </w:r>
          </w:p>
        </w:tc>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Símbolo (unidad)</w:t>
            </w:r>
          </w:p>
        </w:tc>
        <w:tc>
          <w:tcPr>
            <w:tcW w:type="pct" w:w="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Origen</w:t>
            </w:r>
          </w:p>
        </w:tc>
        <w:tc>
          <w:tcPr>
            <w:tcW w:type="pct" w:w="1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Criticidad</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Espesor de cada capa del revestimiento</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L_i (m)</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Plano de revestimiento y registro de instalación</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Conductividad térmica en función de la temperatura, por capa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k_i(T) (W·m⁻¹·K⁻¹)</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Ficha del proveedor; ASTM C1113; Schacht (2004)</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Densidad aparente por capa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ρ_i (kg·m⁻³)</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ASTM C20; ficha del proveedor</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Calor específico en función de la temperatura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cp_i(T) (J·kg⁻¹·K⁻¹)</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ASTM E1269; ficha del proveedor; Schacht (2004)</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Duración real de cada etapa del ciclo, incluidos tiempos muertos</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t_j (s)</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Registro de planta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Condición de frontera del precalentamiento (temperatura de gases, potencia, curva de rampa)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T_g, Q̇</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Glaser et al. (2011); registro del quemador</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Estado térmico inicial, heredado del ciclo anterior</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T(x, 0) (°C)</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Simulación cíclica hasta estado estacionario periódico</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Resistencia térmica de contacto entre capas</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R"c (m²·K·W⁻¹)</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Zimmer et al. (2008); ajuste contra temperatura de coraza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Media-alta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Emisividad de cara caliente y de coraza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ε (adimensional)</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Incropera et al. (2011); medición con termografía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Coeficiente de convección exterior</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h_ext (W·m⁻²·K⁻¹)</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Correlación de convección natural (Churchill–Chu)</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Coeficiente de transferencia baño-refractario</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h_int (W·m⁻²·K⁻¹)</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Fredman (2000a); Mazumdar y Evans (2010)</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Propiedades mecánicas: E, ν, α, módulo de ruptura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 </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Kingery (1955); Ali et al. (2020); ficha del proveedor</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Media (solo para el criterio de falla)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Espesor de junta de mampostería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e_j (mm)</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Ali et al. (2020); práctica de instalación</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Media (solo para infiltración)</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Temperatura ambiente de nave</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T_∞ (°C)</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Medición directa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Baja</w:t>
            </w:r>
          </w:p>
        </w:tc>
      </w:tr>
    </w:tbl>
    <w:p>
      <w:pPr>
        <w:spacing w:after="120"/>
      </w:pPr>
      <w:r>
        <w:rPr>
          <w:rFonts w:ascii="Times New Roman" w:cs="Times New Roman" w:eastAsia="Times New Roman" w:hAnsi="Times New Roman"/>
          <w:sz w:val="24"/>
          <w:szCs w:val="24"/>
        </w:rPr>
        <w:t xml:space="preserve"/>
      </w:r>
    </w:p>
    <w:p>
      <w:pPr>
        <w:spacing w:after="200" w:before="360"/>
        <w:jc w:val="center"/>
      </w:pPr>
      <w:r>
        <w:rPr>
          <w:rFonts w:ascii="Times New Roman" w:cs="Times New Roman" w:eastAsia="Times New Roman" w:hAnsi="Times New Roman"/>
          <w:b/>
          <w:bCs/>
          <w:sz w:val="24"/>
          <w:szCs w:val="24"/>
          <w:u w:val="single"/>
        </w:rPr>
        <w:t xml:space="preserve">8. SUPOSICIONES DEL MODELO UNIDIMENSIONAL Y SU RESPALDO</w:t>
      </w:r>
    </w:p>
    <w:p>
      <w:pPr>
        <w:spacing w:after="120" w:line="276"/>
        <w:jc w:val="both"/>
      </w:pPr>
      <w:r>
        <w:rPr>
          <w:rFonts w:ascii="Times New Roman" w:cs="Times New Roman" w:eastAsia="Times New Roman" w:hAnsi="Times New Roman"/>
          <w:b w:val="false"/>
          <w:bCs w:val="false"/>
          <w:i w:val="false"/>
          <w:iCs w:val="false"/>
          <w:sz w:val="24"/>
          <w:szCs w:val="24"/>
        </w:rPr>
        <w:t xml:space="preserve">Toda suposición debe quedar escrita, respaldada por una referencia y acompañada de la condición bajo la cual deja de ser válida. Esa tabla es, en la práctica, la defensa del modelo frente a cualquier revisión.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Suposición</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Respaldo bibliográfico</w:t>
            </w:r>
          </w:p>
        </w:tc>
        <w:tc>
          <w:tcPr>
            <w:tcW w:type="pct" w:w="4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Cuándo deja de ser válida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Conducción puramente radial; gradientes axiales despreciables</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Fredman et al. (1999)</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 el fondo, en la esquina pared-fondo y en la línea de escoria, donde el flujo bidimensional es significativo</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Baño de acero isotérmico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Austin et al. (1992) cuantifican la estratificación</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 esperas prolongadas sin agitación con gas, o si se quiere predecir con precisión la temperatura de vaciado</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Contacto térmico perfecto entre capas</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Simplificación de la primera versión</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Zimmer et al. (2008) muestran resistencia de contacto medible; al validar contra temperatura de coraza habrá que introducir R"c</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Propiedades independientes de la temperatura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Aceptable solo para la verificación contra solución analítica</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 el rango real de 25 a 1600 °C; la conductividad del aislante puede variar por factor de dos o más</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Espesor constante, sin desgaste</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Válido para olla recién revestida</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partir de las primeras decenas de coladas; Volkova y Janke (2003) muestran cómo introducir el desgaste</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Sin generación interna ni cambio de fase</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Válido para ladrillo seco y estabilizado</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 el primer calentamiento de revestimientos monolíticos, donde la evaporación de agua libre y la deshidratación consumen energía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Ausencia de escoria residual y de costra de acero adherida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Simplificación</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Cuando queda costra o escoria en la pared, que actúa como capa aislante adicional no contemplada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Radiación tratada como intercambio entre superficies grises difusas</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Incropera et al. (2011)</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Cuando los gases de combustión participan activamente en el intercambio radiativo dentro de la olla tapada</w:t>
            </w:r>
          </w:p>
        </w:tc>
      </w:tr>
    </w:tbl>
    <w:p>
      <w:pPr>
        <w:spacing w:after="120"/>
      </w:pPr>
      <w:r>
        <w:rPr>
          <w:rFonts w:ascii="Times New Roman" w:cs="Times New Roman" w:eastAsia="Times New Roman" w:hAnsi="Times New Roman"/>
          <w:sz w:val="24"/>
          <w:szCs w:val="24"/>
        </w:rPr>
        <w:t xml:space="preserve"/>
      </w:r>
    </w:p>
    <w:p>
      <w:pPr>
        <w:spacing w:after="200" w:before="360"/>
        <w:jc w:val="center"/>
      </w:pPr>
      <w:r>
        <w:rPr>
          <w:rFonts w:ascii="Times New Roman" w:cs="Times New Roman" w:eastAsia="Times New Roman" w:hAnsi="Times New Roman"/>
          <w:b/>
          <w:bCs/>
          <w:sz w:val="24"/>
          <w:szCs w:val="24"/>
          <w:u w:val="single"/>
        </w:rPr>
        <w:t xml:space="preserve">9. RUTA DE LECTURA E IMPLEMENTACIÓN SUGERIDA</w:t>
      </w:r>
    </w:p>
    <w:p>
      <w:pPr>
        <w:spacing w:after="120" w:line="276"/>
        <w:jc w:val="both"/>
      </w:pPr>
      <w:r>
        <w:rPr>
          <w:rFonts w:ascii="Times New Roman" w:cs="Times New Roman" w:eastAsia="Times New Roman" w:hAnsi="Times New Roman"/>
          <w:b w:val="false"/>
          <w:bCs w:val="false"/>
          <w:i w:val="false"/>
          <w:iCs w:val="false"/>
          <w:sz w:val="24"/>
          <w:szCs w:val="24"/>
        </w:rPr>
        <w:t xml:space="preserve">El orden importa: leer los modelos de olla antes de dominar el esquema numérico lleva a copiar resultados sin poder reproducirlos, y programar antes de conseguir propiedades lleva a un código que funciona con números inventados.</w:t>
      </w:r>
    </w:p>
    <w:p>
      <w:pPr>
        <w:spacing w:after="100" w:before="240"/>
        <w:jc w:val="left"/>
      </w:pPr>
      <w:r>
        <w:rPr>
          <w:rFonts w:ascii="Times New Roman" w:cs="Times New Roman" w:eastAsia="Times New Roman" w:hAnsi="Times New Roman"/>
          <w:b/>
          <w:bCs/>
          <w:sz w:val="24"/>
          <w:szCs w:val="24"/>
        </w:rPr>
        <w:t xml:space="preserve">Fase 1 — Fundamento y verificación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Lectura: </w:t>
      </w:r>
      <w:r>
        <w:rPr>
          <w:rFonts w:ascii="Times New Roman" w:cs="Times New Roman" w:eastAsia="Times New Roman" w:hAnsi="Times New Roman"/>
          <w:sz w:val="24"/>
          <w:szCs w:val="24"/>
        </w:rPr>
        <w:t xml:space="preserve">Özışık et al. (2017), capítulos de conducción unidimensional transitoria; Patankar (1980), capítulo del método de volumen finito; Carslaw y Jaeger (1959) solo para el caso de verificación.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esperado: </w:t>
      </w:r>
      <w:r>
        <w:rPr>
          <w:rFonts w:ascii="Times New Roman" w:cs="Times New Roman" w:eastAsia="Times New Roman" w:hAnsi="Times New Roman"/>
          <w:sz w:val="24"/>
          <w:szCs w:val="24"/>
        </w:rPr>
        <w:t xml:space="preserve">Código 1D multicapa con propiedades constantes, verificado contra la solución analítica del sólido semiinfinito y con estudio de independencia de malla.</w:t>
      </w:r>
    </w:p>
    <w:p>
      <w:pPr>
        <w:spacing w:after="100" w:before="240"/>
        <w:jc w:val="left"/>
      </w:pPr>
      <w:r>
        <w:rPr>
          <w:rFonts w:ascii="Times New Roman" w:cs="Times New Roman" w:eastAsia="Times New Roman" w:hAnsi="Times New Roman"/>
          <w:b/>
          <w:bCs/>
          <w:sz w:val="24"/>
          <w:szCs w:val="24"/>
        </w:rPr>
        <w:t xml:space="preserve">Fase 2 — Contexto y estructura del ciclo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Lectura: </w:t>
      </w:r>
      <w:r>
        <w:rPr>
          <w:rFonts w:ascii="Times New Roman" w:cs="Times New Roman" w:eastAsia="Times New Roman" w:hAnsi="Times New Roman"/>
          <w:sz w:val="24"/>
          <w:szCs w:val="24"/>
        </w:rPr>
        <w:t xml:space="preserve">Fredman (2000a) completo; Volkova y Janke (2003).</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esperado: </w:t>
      </w:r>
      <w:r>
        <w:rPr>
          <w:rFonts w:ascii="Times New Roman" w:cs="Times New Roman" w:eastAsia="Times New Roman" w:hAnsi="Times New Roman"/>
          <w:sz w:val="24"/>
          <w:szCs w:val="24"/>
        </w:rPr>
        <w:t xml:space="preserve">Definición escrita del ciclo por etapas, con las condiciones de frontera de cada una y el encadenamiento de estados iniciales entre etapas y entre coladas.</w:t>
      </w:r>
    </w:p>
    <w:p>
      <w:pPr>
        <w:spacing w:after="100" w:before="240"/>
        <w:jc w:val="left"/>
      </w:pPr>
      <w:r>
        <w:rPr>
          <w:rFonts w:ascii="Times New Roman" w:cs="Times New Roman" w:eastAsia="Times New Roman" w:hAnsi="Times New Roman"/>
          <w:b/>
          <w:bCs/>
          <w:sz w:val="24"/>
          <w:szCs w:val="24"/>
        </w:rPr>
        <w:t xml:space="preserve">Fase 3 — Propiedades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Lectura: </w:t>
      </w:r>
      <w:r>
        <w:rPr>
          <w:rFonts w:ascii="Times New Roman" w:cs="Times New Roman" w:eastAsia="Times New Roman" w:hAnsi="Times New Roman"/>
          <w:sz w:val="24"/>
          <w:szCs w:val="24"/>
        </w:rPr>
        <w:t xml:space="preserve">Fichas técnicas del proveedor del revestimiento instalado; Schacht (2004); Sarkar (2016); ASTM C1113 y ASTM C20 para saber qué exigir.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esperado: </w:t>
      </w:r>
      <w:r>
        <w:rPr>
          <w:rFonts w:ascii="Times New Roman" w:cs="Times New Roman" w:eastAsia="Times New Roman" w:hAnsi="Times New Roman"/>
          <w:sz w:val="24"/>
          <w:szCs w:val="24"/>
        </w:rPr>
        <w:t xml:space="preserve">Tabla de k(T), ρ y cp por capa, con la fuente y la incertidumbre de cada valor declaradas.</w:t>
      </w:r>
    </w:p>
    <w:p>
      <w:pPr>
        <w:spacing w:after="100" w:before="240"/>
        <w:jc w:val="left"/>
      </w:pPr>
      <w:r>
        <w:rPr>
          <w:rFonts w:ascii="Times New Roman" w:cs="Times New Roman" w:eastAsia="Times New Roman" w:hAnsi="Times New Roman"/>
          <w:b/>
          <w:bCs/>
          <w:sz w:val="24"/>
          <w:szCs w:val="24"/>
        </w:rPr>
        <w:t xml:space="preserve">Fase 4 — Precalentamiento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Lectura: </w:t>
      </w:r>
      <w:r>
        <w:rPr>
          <w:rFonts w:ascii="Times New Roman" w:cs="Times New Roman" w:eastAsia="Times New Roman" w:hAnsi="Times New Roman"/>
          <w:sz w:val="24"/>
          <w:szCs w:val="24"/>
        </w:rPr>
        <w:t xml:space="preserve">Glaser et al. (2011); Harbison-Walker (2005) para las rampas recomendadas.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esperado: </w:t>
      </w:r>
      <w:r>
        <w:rPr>
          <w:rFonts w:ascii="Times New Roman" w:cs="Times New Roman" w:eastAsia="Times New Roman" w:hAnsi="Times New Roman"/>
          <w:sz w:val="24"/>
          <w:szCs w:val="24"/>
        </w:rPr>
        <w:t xml:space="preserve">Condición de frontera del quemador implementada y criterio cuantitativo de “olla precalentada” definido en términos del perfil, no de la cara caliente.</w:t>
      </w:r>
    </w:p>
    <w:p>
      <w:pPr>
        <w:spacing w:after="100" w:before="240"/>
        <w:jc w:val="left"/>
      </w:pPr>
      <w:r>
        <w:rPr>
          <w:rFonts w:ascii="Times New Roman" w:cs="Times New Roman" w:eastAsia="Times New Roman" w:hAnsi="Times New Roman"/>
          <w:b/>
          <w:bCs/>
          <w:sz w:val="24"/>
          <w:szCs w:val="24"/>
        </w:rPr>
        <w:t xml:space="preserve">Fase 5 — Validación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Lectura: </w:t>
      </w:r>
      <w:r>
        <w:rPr>
          <w:rFonts w:ascii="Times New Roman" w:cs="Times New Roman" w:eastAsia="Times New Roman" w:hAnsi="Times New Roman"/>
          <w:sz w:val="24"/>
          <w:szCs w:val="24"/>
        </w:rPr>
        <w:t xml:space="preserve">Zimmer et al. (2008); Fredman et al. (1999); Mäkelä et al. (2023); Santos et al. (2018) y Campos et al. (2020) para el balance de energía.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esperado: </w:t>
      </w:r>
      <w:r>
        <w:rPr>
          <w:rFonts w:ascii="Times New Roman" w:cs="Times New Roman" w:eastAsia="Times New Roman" w:hAnsi="Times New Roman"/>
          <w:sz w:val="24"/>
          <w:szCs w:val="24"/>
        </w:rPr>
        <w:t xml:space="preserve">Comparación del modelo contra temperatura de coraza medida en la olla de planta, con el error reportado y la resistencia de contacto ajustada.</w:t>
      </w:r>
    </w:p>
    <w:p>
      <w:pPr>
        <w:spacing w:after="100" w:before="240"/>
        <w:jc w:val="left"/>
      </w:pPr>
      <w:r>
        <w:rPr>
          <w:rFonts w:ascii="Times New Roman" w:cs="Times New Roman" w:eastAsia="Times New Roman" w:hAnsi="Times New Roman"/>
          <w:b/>
          <w:bCs/>
          <w:sz w:val="24"/>
          <w:szCs w:val="24"/>
        </w:rPr>
        <w:t xml:space="preserve">Fase 6 — Criterio de falla y resultado operativo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Lectura: </w:t>
      </w:r>
      <w:r>
        <w:rPr>
          <w:rFonts w:ascii="Times New Roman" w:cs="Times New Roman" w:eastAsia="Times New Roman" w:hAnsi="Times New Roman"/>
          <w:sz w:val="24"/>
          <w:szCs w:val="24"/>
        </w:rPr>
        <w:t xml:space="preserve">Kingery (1955); Hasselman (1969); Ali et al. (2020); ASTM C1171.</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esperado: </w:t>
      </w:r>
      <w:r>
        <w:rPr>
          <w:rFonts w:ascii="Times New Roman" w:cs="Times New Roman" w:eastAsia="Times New Roman" w:hAnsi="Times New Roman"/>
          <w:sz w:val="24"/>
          <w:szCs w:val="24"/>
        </w:rPr>
        <w:t xml:space="preserve">Rampa máxima admisible en °C/h y tiempo mínimo de precalentamiento en función del estado térmico inicial de la olla, que es el entregable final del proyecto.</w:t>
      </w:r>
    </w:p>
    <w:p>
      <w:pPr>
        <w:spacing w:after="200" w:before="360"/>
        <w:jc w:val="center"/>
      </w:pPr>
      <w:r>
        <w:rPr>
          <w:rFonts w:ascii="Times New Roman" w:cs="Times New Roman" w:eastAsia="Times New Roman" w:hAnsi="Times New Roman"/>
          <w:b/>
          <w:bCs/>
          <w:sz w:val="24"/>
          <w:szCs w:val="24"/>
          <w:u w:val="single"/>
        </w:rPr>
        <w:t xml:space="preserve">10. NOTA SOBRE EL ALCANCE DE ESTA LISTA</w:t>
      </w:r>
    </w:p>
    <w:p>
      <w:pPr>
        <w:spacing w:after="120" w:line="276"/>
        <w:jc w:val="both"/>
      </w:pPr>
      <w:r>
        <w:rPr>
          <w:rFonts w:ascii="Times New Roman" w:cs="Times New Roman" w:eastAsia="Times New Roman" w:hAnsi="Times New Roman"/>
          <w:b w:val="false"/>
          <w:bCs w:val="false"/>
          <w:i w:val="false"/>
          <w:iCs w:val="false"/>
          <w:sz w:val="24"/>
          <w:szCs w:val="24"/>
        </w:rPr>
        <w:t xml:space="preserve">Las referencias de los bloques II y IV se verificaron una por una contra la fuente original (autores, revista, volumen, año y páginas). Las de los bloques I y III son obras de referencia estándar cuya edición puede variar según la disponibilidad en biblioteca; en ese caso conviene citar la edición efectivamente consultada. Deliberadamente se dejaron fuera los trabajos de modelado termomecánico por elementos finitos en dos y tres dimensiones distintos del de Ali et al. (2020), así como los estudios de CFD del quemador de precalentamiento: son el paso siguiente natural, pero exceden lo necesario para un modelo unidimensional y, si se abordan antes de tener el 1D funcionando y validado, consumen el tiempo del proyecto sin producir un resultado utilizable.</w:t>
      </w:r>
    </w:p>
    <w:p>
      <w:pPr>
        <w:spacing w:after="200" w:before="360"/>
        <w:jc w:val="center"/>
      </w:pPr>
      <w:r>
        <w:rPr>
          <w:rFonts w:ascii="Times New Roman" w:cs="Times New Roman" w:eastAsia="Times New Roman" w:hAnsi="Times New Roman"/>
          <w:b/>
          <w:bCs/>
          <w:sz w:val="24"/>
          <w:szCs w:val="24"/>
          <w:u w:val="single"/>
        </w:rPr>
        <w:t xml:space="preserve">11. REFERENCIAS</w:t>
      </w:r>
    </w:p>
    <w:p>
      <w:pPr>
        <w:spacing w:after="120" w:line="276"/>
        <w:ind w:left="720" w:hanging="720"/>
        <w:jc w:val="both"/>
      </w:pPr>
      <w:r>
        <w:rPr>
          <w:rFonts w:ascii="Times New Roman" w:cs="Times New Roman" w:eastAsia="Times New Roman" w:hAnsi="Times New Roman"/>
          <w:sz w:val="24"/>
          <w:szCs w:val="24"/>
        </w:rPr>
        <w:t xml:space="preserve">Ali, M., Sayet, T., Gasser, A. y Blond, E. (2020). Transient thermo-mechanical analysis of steel ladle refractory linings using mechanical homogenization approach. Ceramics, 3(2), 171–189. https://doi.org/10.3390/ceramics3020016</w:t>
      </w:r>
    </w:p>
    <w:p>
      <w:pPr>
        <w:spacing w:after="120" w:line="276"/>
        <w:ind w:left="720" w:hanging="720"/>
        <w:jc w:val="both"/>
      </w:pPr>
      <w:r>
        <w:rPr>
          <w:rFonts w:ascii="Times New Roman" w:cs="Times New Roman" w:eastAsia="Times New Roman" w:hAnsi="Times New Roman"/>
          <w:sz w:val="24"/>
          <w:szCs w:val="24"/>
        </w:rPr>
        <w:t xml:space="preserve">ASTM International. ASTM C20. Standard Test Methods for Apparent Porosity, Water Absorption, Apparent Specific Gravity, and Bulk Density of Burned Refractory Brick and Shapes by Boiling Water.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C1113/C1113M. Standard Test Method for Thermal Conductivity of Refractories by Hot Wire (Platinum Resistance Thermometer Technique).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C1171. Standard Test Method for Quantitatively Measuring the Effect of Thermal Shock and Thermal Cycling on Refractories. West Conshohocken, PA.</w:t>
      </w:r>
    </w:p>
    <w:p>
      <w:pPr>
        <w:spacing w:after="120" w:line="276"/>
        <w:ind w:left="720" w:hanging="720"/>
        <w:jc w:val="both"/>
      </w:pPr>
      <w:r>
        <w:rPr>
          <w:rFonts w:ascii="Times New Roman" w:cs="Times New Roman" w:eastAsia="Times New Roman" w:hAnsi="Times New Roman"/>
          <w:sz w:val="24"/>
          <w:szCs w:val="24"/>
        </w:rPr>
        <w:t xml:space="preserve">Austin, P. R., Camplin, J. M., Herbertson, J. y Taggart, I. J. (1992). Mathematical modelling of thermal stratification and drainage of steel ladles. ISIJ International, 32(2), 196–202. https://doi.org/10.2355/isijinternational.32.196</w:t>
      </w:r>
    </w:p>
    <w:p>
      <w:pPr>
        <w:spacing w:after="120" w:line="276"/>
        <w:ind w:left="720" w:hanging="720"/>
        <w:jc w:val="both"/>
      </w:pPr>
      <w:r>
        <w:rPr>
          <w:rFonts w:ascii="Times New Roman" w:cs="Times New Roman" w:eastAsia="Times New Roman" w:hAnsi="Times New Roman"/>
          <w:sz w:val="24"/>
          <w:szCs w:val="24"/>
        </w:rPr>
        <w:t xml:space="preserve">Campos, M. G. G., Santos, M. F., Moreira, M. H., Angélico, R. A., Sako, E. Y. y Pandolfelli, V. C. (2020). Holistic view of the insulating layer on the thermal efficiency of a steel ladle lining. International Journal of Ceramic Engineering &amp; Science, 2(3), 113–129. https://doi.org/10.1002/ces2.10043</w:t>
      </w:r>
    </w:p>
    <w:p>
      <w:pPr>
        <w:spacing w:after="120" w:line="276"/>
        <w:ind w:left="720" w:hanging="720"/>
        <w:jc w:val="both"/>
      </w:pPr>
      <w:r>
        <w:rPr>
          <w:rFonts w:ascii="Times New Roman" w:cs="Times New Roman" w:eastAsia="Times New Roman" w:hAnsi="Times New Roman"/>
          <w:sz w:val="24"/>
          <w:szCs w:val="24"/>
        </w:rPr>
        <w:t xml:space="preserve">Carslaw, H. S. y Jaeger, J. C. (1959). Conduction of Heat in Solids (2ª ed.). Oxford University Press.</w:t>
      </w:r>
    </w:p>
    <w:p>
      <w:pPr>
        <w:spacing w:after="120" w:line="276"/>
        <w:ind w:left="720" w:hanging="720"/>
        <w:jc w:val="both"/>
      </w:pPr>
      <w:r>
        <w:rPr>
          <w:rFonts w:ascii="Times New Roman" w:cs="Times New Roman" w:eastAsia="Times New Roman" w:hAnsi="Times New Roman"/>
          <w:sz w:val="24"/>
          <w:szCs w:val="24"/>
        </w:rPr>
        <w:t xml:space="preserve">Fredman, T. P. (2000a). Heat transfer in steelmaking ladle refractories and steel temperature: A literature review. Scandinavian Journal of Metallurgy, 29(6), 232–258. https://doi.org/10.1034/j.1600-0692.2000.d01-28.x</w:t>
      </w:r>
    </w:p>
    <w:p>
      <w:pPr>
        <w:spacing w:after="120" w:line="276"/>
        <w:ind w:left="720" w:hanging="720"/>
        <w:jc w:val="both"/>
      </w:pPr>
      <w:r>
        <w:rPr>
          <w:rFonts w:ascii="Times New Roman" w:cs="Times New Roman" w:eastAsia="Times New Roman" w:hAnsi="Times New Roman"/>
          <w:sz w:val="24"/>
          <w:szCs w:val="24"/>
        </w:rPr>
        <w:t xml:space="preserve">Fredman, T. P. (2000b). A model for rapid computation of dynamic heat conduction in steelmaking ladle linings. IFAC Proceedings Volumes, 33(22), 369–373. https://doi.org/10.1016/S1474-6670(17)37022-2</w:t>
      </w:r>
    </w:p>
    <w:p>
      <w:pPr>
        <w:spacing w:after="120" w:line="276"/>
        <w:ind w:left="720" w:hanging="720"/>
        <w:jc w:val="both"/>
      </w:pPr>
      <w:r>
        <w:rPr>
          <w:rFonts w:ascii="Times New Roman" w:cs="Times New Roman" w:eastAsia="Times New Roman" w:hAnsi="Times New Roman"/>
          <w:sz w:val="24"/>
          <w:szCs w:val="24"/>
        </w:rPr>
        <w:t xml:space="preserve">Fredman, T. P., Torrkulla, J. y Saxén, H. (1999). Two-dimensional dynamic simulation of the thermal state of ladles. Metallurgical and Materials Transactions B, 30(2), 323–330. https://doi.org/10.1007/s11663-999-0061-2</w:t>
      </w:r>
    </w:p>
    <w:p>
      <w:pPr>
        <w:spacing w:after="120" w:line="276"/>
        <w:ind w:left="720" w:hanging="720"/>
        <w:jc w:val="both"/>
      </w:pPr>
      <w:r>
        <w:rPr>
          <w:rFonts w:ascii="Times New Roman" w:cs="Times New Roman" w:eastAsia="Times New Roman" w:hAnsi="Times New Roman"/>
          <w:sz w:val="24"/>
          <w:szCs w:val="24"/>
        </w:rPr>
        <w:t xml:space="preserve">Glaser, B., Görnerup, M. y Sichen, D. (2011). Thermal modelling of the ladle preheating process. Steel Research International, 82(12), 1425–1434. https://doi.org/10.1002/srin.201100198</w:t>
      </w:r>
    </w:p>
    <w:p>
      <w:pPr>
        <w:spacing w:after="120" w:line="276"/>
        <w:ind w:left="720" w:hanging="720"/>
        <w:jc w:val="both"/>
      </w:pPr>
      <w:r>
        <w:rPr>
          <w:rFonts w:ascii="Times New Roman" w:cs="Times New Roman" w:eastAsia="Times New Roman" w:hAnsi="Times New Roman"/>
          <w:sz w:val="24"/>
          <w:szCs w:val="24"/>
        </w:rPr>
        <w:t xml:space="preserve">Harbison-Walker Refractories Company (2005). Handbook of Refractory Practice. Moon Township, PA.</w:t>
      </w:r>
    </w:p>
    <w:p>
      <w:pPr>
        <w:spacing w:after="120" w:line="276"/>
        <w:ind w:left="720" w:hanging="720"/>
        <w:jc w:val="both"/>
      </w:pPr>
      <w:r>
        <w:rPr>
          <w:rFonts w:ascii="Times New Roman" w:cs="Times New Roman" w:eastAsia="Times New Roman" w:hAnsi="Times New Roman"/>
          <w:sz w:val="24"/>
          <w:szCs w:val="24"/>
        </w:rPr>
        <w:t xml:space="preserve">Hasselman, D. P. H. (1969). Unified theory of thermal shock fracture initiation and crack propagation in brittle ceramics. Journal of the American Ceramic Society, 52(11), 600–604.</w:t>
      </w:r>
    </w:p>
    <w:p>
      <w:pPr>
        <w:spacing w:after="120" w:line="276"/>
        <w:ind w:left="720" w:hanging="720"/>
        <w:jc w:val="both"/>
      </w:pPr>
      <w:r>
        <w:rPr>
          <w:rFonts w:ascii="Times New Roman" w:cs="Times New Roman" w:eastAsia="Times New Roman" w:hAnsi="Times New Roman"/>
          <w:sz w:val="24"/>
          <w:szCs w:val="24"/>
        </w:rPr>
        <w:t xml:space="preserve">Incropera, F. P., DeWitt, D. P., Bergman, T. L. y Lavine, A. S. (2011). Fundamentals of Heat and Mass Transfer (7ª ed.). John Wiley &amp; Sons.</w:t>
      </w:r>
    </w:p>
    <w:p>
      <w:pPr>
        <w:spacing w:after="120" w:line="276"/>
        <w:ind w:left="720" w:hanging="720"/>
        <w:jc w:val="both"/>
      </w:pPr>
      <w:r>
        <w:rPr>
          <w:rFonts w:ascii="Times New Roman" w:cs="Times New Roman" w:eastAsia="Times New Roman" w:hAnsi="Times New Roman"/>
          <w:sz w:val="24"/>
          <w:szCs w:val="24"/>
        </w:rPr>
        <w:t xml:space="preserve">Kingery, W. D. (1955). Factors affecting thermal stress resistance of ceramic materials. Journal of the American Ceramic Society, 38(1), 3–15.</w:t>
      </w:r>
    </w:p>
    <w:p>
      <w:pPr>
        <w:spacing w:after="120" w:line="276"/>
        <w:ind w:left="720" w:hanging="720"/>
        <w:jc w:val="both"/>
      </w:pPr>
      <w:r>
        <w:rPr>
          <w:rFonts w:ascii="Times New Roman" w:cs="Times New Roman" w:eastAsia="Times New Roman" w:hAnsi="Times New Roman"/>
          <w:sz w:val="24"/>
          <w:szCs w:val="24"/>
        </w:rPr>
        <w:t xml:space="preserve">Mäkelä, I., Visuri, V.-V. y Fabritius, T. (2023). A mathematical model for the thermal state of a steel ladle. Ironmaking &amp; Steelmaking, 50(7), 867–877. https://doi.org/10.1080/03019233.2023.2201544</w:t>
      </w:r>
    </w:p>
    <w:p>
      <w:pPr>
        <w:spacing w:after="120" w:line="276"/>
        <w:ind w:left="720" w:hanging="720"/>
        <w:jc w:val="both"/>
      </w:pPr>
      <w:r>
        <w:rPr>
          <w:rFonts w:ascii="Times New Roman" w:cs="Times New Roman" w:eastAsia="Times New Roman" w:hAnsi="Times New Roman"/>
          <w:sz w:val="24"/>
          <w:szCs w:val="24"/>
        </w:rPr>
        <w:t xml:space="preserve">Mazumdar, D. y Evans, J. W. (2010). Modeling of Steelmaking Processes. CRC Press.</w:t>
      </w:r>
    </w:p>
    <w:p>
      <w:pPr>
        <w:spacing w:after="120" w:line="276"/>
        <w:ind w:left="720" w:hanging="720"/>
        <w:jc w:val="both"/>
      </w:pPr>
      <w:r>
        <w:rPr>
          <w:rFonts w:ascii="Times New Roman" w:cs="Times New Roman" w:eastAsia="Times New Roman" w:hAnsi="Times New Roman"/>
          <w:sz w:val="24"/>
          <w:szCs w:val="24"/>
        </w:rPr>
        <w:t xml:space="preserve">Özışık, M. N., Orlande, H. R. B., Colaço, M. J. y Cotta, R. M. (2017). Finite Difference Methods in Heat Transfer (2ª ed.). CRC Press.</w:t>
      </w:r>
    </w:p>
    <w:p>
      <w:pPr>
        <w:spacing w:after="120" w:line="276"/>
        <w:ind w:left="720" w:hanging="720"/>
        <w:jc w:val="both"/>
      </w:pPr>
      <w:r>
        <w:rPr>
          <w:rFonts w:ascii="Times New Roman" w:cs="Times New Roman" w:eastAsia="Times New Roman" w:hAnsi="Times New Roman"/>
          <w:sz w:val="24"/>
          <w:szCs w:val="24"/>
        </w:rPr>
        <w:t xml:space="preserve">Patankar, S. V. (1980). Numerical Heat Transfer and Fluid Flow. Hemisphere Publishing.</w:t>
      </w:r>
    </w:p>
    <w:p>
      <w:pPr>
        <w:spacing w:after="120" w:line="276"/>
        <w:ind w:left="720" w:hanging="720"/>
        <w:jc w:val="both"/>
      </w:pPr>
      <w:r>
        <w:rPr>
          <w:rFonts w:ascii="Times New Roman" w:cs="Times New Roman" w:eastAsia="Times New Roman" w:hAnsi="Times New Roman"/>
          <w:sz w:val="24"/>
          <w:szCs w:val="24"/>
        </w:rPr>
        <w:t xml:space="preserve">Poirier, D. R. y Geiger, G. H. (2016). Transport Phenomena in Materials Processing (2ª ed.). Springer/TMS.</w:t>
      </w:r>
    </w:p>
    <w:p>
      <w:pPr>
        <w:spacing w:after="120" w:line="276"/>
        <w:ind w:left="720" w:hanging="720"/>
        <w:jc w:val="both"/>
      </w:pPr>
      <w:r>
        <w:rPr>
          <w:rFonts w:ascii="Times New Roman" w:cs="Times New Roman" w:eastAsia="Times New Roman" w:hAnsi="Times New Roman"/>
          <w:sz w:val="24"/>
          <w:szCs w:val="24"/>
        </w:rPr>
        <w:t xml:space="preserve">Santos, M. F., Moreira, M. H., Campos, M. G. G., Pelissari, P. I. B. G. B., Angélico, R. A., Sako, E. Y., Sinnema, S. y Pandolfelli, V. C. (2018). Enhanced numerical tool to evaluate steel ladle thermal losses. Ceramics International, 44(11), 12831–12840. https://doi.org/10.1016/j.ceramint.2018.04.092</w:t>
      </w:r>
    </w:p>
    <w:p>
      <w:pPr>
        <w:spacing w:after="120" w:line="276"/>
        <w:ind w:left="720" w:hanging="720"/>
        <w:jc w:val="both"/>
      </w:pPr>
      <w:r>
        <w:rPr>
          <w:rFonts w:ascii="Times New Roman" w:cs="Times New Roman" w:eastAsia="Times New Roman" w:hAnsi="Times New Roman"/>
          <w:sz w:val="24"/>
          <w:szCs w:val="24"/>
        </w:rPr>
        <w:t xml:space="preserve">Sarkar, R. (2016). Refractory Technology: Fundamentals and Applications. CRC Press.</w:t>
      </w:r>
    </w:p>
    <w:p>
      <w:pPr>
        <w:spacing w:after="120" w:line="276"/>
        <w:ind w:left="720" w:hanging="720"/>
        <w:jc w:val="both"/>
      </w:pPr>
      <w:r>
        <w:rPr>
          <w:rFonts w:ascii="Times New Roman" w:cs="Times New Roman" w:eastAsia="Times New Roman" w:hAnsi="Times New Roman"/>
          <w:sz w:val="24"/>
          <w:szCs w:val="24"/>
        </w:rPr>
        <w:t xml:space="preserve">Schacht, C. A. (Ed.) (2004). Refractories Handbook. Marcel Dekker.</w:t>
      </w:r>
    </w:p>
    <w:p>
      <w:pPr>
        <w:spacing w:after="120" w:line="276"/>
        <w:ind w:left="720" w:hanging="720"/>
        <w:jc w:val="both"/>
      </w:pPr>
      <w:r>
        <w:rPr>
          <w:rFonts w:ascii="Times New Roman" w:cs="Times New Roman" w:eastAsia="Times New Roman" w:hAnsi="Times New Roman"/>
          <w:sz w:val="24"/>
          <w:szCs w:val="24"/>
        </w:rPr>
        <w:t xml:space="preserve">Volkova, O. y Janke, D. (2003). Modelling of temperature distribution in refractory ladle lining for steelmaking. ISIJ International, 43(8), 1185–1190. https://doi.org/10.2355/isijinternational.43.1185</w:t>
      </w:r>
    </w:p>
    <w:p>
      <w:pPr>
        <w:spacing w:after="120" w:line="276"/>
        <w:ind w:left="720" w:hanging="720"/>
        <w:jc w:val="both"/>
      </w:pPr>
      <w:r>
        <w:rPr>
          <w:rFonts w:ascii="Times New Roman" w:cs="Times New Roman" w:eastAsia="Times New Roman" w:hAnsi="Times New Roman"/>
          <w:sz w:val="24"/>
          <w:szCs w:val="24"/>
        </w:rPr>
        <w:t xml:space="preserve">Zimmer, A., Lima, Á. N. C., Trommer, R. M., Bragança, S. R. y Bergmann, C. P. (2008). Heat transfer in steelmaking ladle. Journal of Iron and Steel Research International, 15(3), 11–14. https://doi.org/10.1016/S1006-706X(08)60117-X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2026-08-17T14:45:16.632Z</dcterms:created>
  <dcterms:modified xsi:type="dcterms:W3CDTF">2026-08-17T14:45:16.632Z</dcterms:modified>
</cp:coreProperties>
</file>

<file path=docProps/custom.xml><?xml version="1.0" encoding="utf-8"?>
<Properties xmlns="http://schemas.openxmlformats.org/officeDocument/2006/custom-properties" xmlns:vt="http://schemas.openxmlformats.org/officeDocument/2006/docPropsVTypes"/>
</file>