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jc w:val="center"/>
      </w:pPr>
      <w:r>
        <w:rPr>
          <w:rFonts w:ascii="Times New Roman" w:cs="Times New Roman" w:eastAsia="Times New Roman" w:hAnsi="Times New Roman"/>
          <w:b/>
          <w:bCs/>
          <w:sz w:val="24"/>
          <w:szCs w:val="24"/>
          <w:u w:val="single"/>
        </w:rPr>
        <w:t xml:space="preserve">PROPUESTA DE INICIO DE PROYECTO</w:t>
      </w:r>
    </w:p>
    <w:p>
      <w:pPr>
        <w:spacing w:after="120" w:line="276"/>
        <w:jc w:val="center"/>
      </w:pPr>
      <w:r>
        <w:rPr>
          <w:rFonts w:ascii="Times New Roman" w:cs="Times New Roman" w:eastAsia="Times New Roman" w:hAnsi="Times New Roman"/>
          <w:b/>
          <w:bCs/>
          <w:i w:val="false"/>
          <w:iCs w:val="false"/>
          <w:sz w:val="24"/>
          <w:szCs w:val="24"/>
        </w:rPr>
        <w:t xml:space="preserve">Modelo térmico unidimensional del revestimiento refractario de una olla de acería para la determinación del tiempo mínimo de precalentamiento</w:t>
      </w:r>
    </w:p>
    <w:p>
      <w:pPr>
        <w:spacing w:after="60" w:line="276"/>
        <w:jc w:val="center"/>
      </w:pPr>
      <w:r>
        <w:rPr>
          <w:rFonts w:ascii="Times New Roman" w:cs="Times New Roman" w:eastAsia="Times New Roman" w:hAnsi="Times New Roman"/>
          <w:b w:val="false"/>
          <w:bCs w:val="false"/>
          <w:i w:val="false"/>
          <w:iCs w:val="false"/>
          <w:sz w:val="24"/>
          <w:szCs w:val="24"/>
        </w:rPr>
        <w:t xml:space="preserve">Rodrigo — Ingeniería en Metalurgia y Fundición</w:t>
      </w:r>
    </w:p>
    <w:p>
      <w:pPr>
        <w:spacing w:after="60" w:line="276"/>
        <w:jc w:val="center"/>
      </w:pPr>
      <w:r>
        <w:rPr>
          <w:rFonts w:ascii="Times New Roman" w:cs="Times New Roman" w:eastAsia="Times New Roman" w:hAnsi="Times New Roman"/>
          <w:b w:val="false"/>
          <w:bCs w:val="false"/>
          <w:i w:val="false"/>
          <w:iCs w:val="false"/>
          <w:sz w:val="24"/>
          <w:szCs w:val="24"/>
        </w:rPr>
        <w:t xml:space="preserve">Instituto Tecnológico de Saltillo · Tecnológico Nacional de México</w:t>
      </w:r>
    </w:p>
    <w:p>
      <w:pPr>
        <w:spacing w:after="240" w:line="276"/>
        <w:jc w:val="center"/>
      </w:pPr>
      <w:r>
        <w:rPr>
          <w:rFonts w:ascii="Times New Roman" w:cs="Times New Roman" w:eastAsia="Times New Roman" w:hAnsi="Times New Roman"/>
          <w:b w:val="false"/>
          <w:bCs w:val="false"/>
          <w:i w:val="false"/>
          <w:iCs w:val="false"/>
          <w:sz w:val="24"/>
          <w:szCs w:val="24"/>
        </w:rPr>
        <w:t xml:space="preserve">17 de agosto de 2026</w:t>
      </w:r>
    </w:p>
    <w:p>
      <w:pPr>
        <w:spacing w:after="200" w:before="360"/>
        <w:jc w:val="center"/>
      </w:pPr>
      <w:r>
        <w:rPr>
          <w:rFonts w:ascii="Times New Roman" w:cs="Times New Roman" w:eastAsia="Times New Roman" w:hAnsi="Times New Roman"/>
          <w:b/>
          <w:bCs/>
          <w:sz w:val="24"/>
          <w:szCs w:val="24"/>
          <w:u w:val="single"/>
        </w:rPr>
        <w:t xml:space="preserve">1. RESUMEN EJECUTIVO</w:t>
      </w:r>
    </w:p>
    <w:p>
      <w:pPr>
        <w:spacing w:after="120" w:line="276"/>
        <w:jc w:val="both"/>
      </w:pPr>
      <w:r>
        <w:rPr>
          <w:rFonts w:ascii="Times New Roman" w:cs="Times New Roman" w:eastAsia="Times New Roman" w:hAnsi="Times New Roman"/>
          <w:b w:val="false"/>
          <w:bCs w:val="false"/>
          <w:i w:val="false"/>
          <w:iCs w:val="false"/>
          <w:sz w:val="24"/>
          <w:szCs w:val="24"/>
        </w:rPr>
        <w:t xml:space="preserve">Se propone desarrollar un modelo térmico transitorio unidimensional del revestimiento refractario de una olla de acería, con el fin de conocer el perfil de temperatura a través de las cinco capas del revestimiento en los distintos momentos del ciclo y, a partir de él, determinar el tiempo mínimo de precalentamiento que evita el choque térmico del refractario, el enfriamiento excesivo del acero y la infiltración por apertura de juntas.</w:t>
      </w:r>
    </w:p>
    <w:p>
      <w:pPr>
        <w:spacing w:after="120" w:line="276"/>
        <w:jc w:val="both"/>
      </w:pPr>
      <w:r>
        <w:rPr>
          <w:rFonts w:ascii="Times New Roman" w:cs="Times New Roman" w:eastAsia="Times New Roman" w:hAnsi="Times New Roman"/>
          <w:b w:val="false"/>
          <w:bCs w:val="false"/>
          <w:i w:val="false"/>
          <w:iCs w:val="false"/>
          <w:sz w:val="24"/>
          <w:szCs w:val="24"/>
        </w:rPr>
        <w:t xml:space="preserve">El problema de fondo es que la única variable térmica que hoy se mide en la olla —la temperatura de la cara caliente leída con pirómetro— no informa sobre el estado del revestimiento. La cara caliente responde en minutos y el conjunto del revestimiento en decenas de horas: con los espesores y propiedades del caso de referencia, la constante de tiempo del revestimiento resulta de 28 horas. Una olla puede mostrar 1100 °C en la superficie con el 90 % de su masa refractaria todavía fría. El modelo existe precisamente para ver lo que el pirómetro no ve.</w:t>
      </w:r>
    </w:p>
    <w:p>
      <w:pPr>
        <w:spacing w:after="120" w:line="276"/>
        <w:jc w:val="both"/>
      </w:pPr>
      <w:r>
        <w:rPr>
          <w:rFonts w:ascii="Times New Roman" w:cs="Times New Roman" w:eastAsia="Times New Roman" w:hAnsi="Times New Roman"/>
          <w:b w:val="false"/>
          <w:bCs w:val="false"/>
          <w:i w:val="false"/>
          <w:iCs w:val="false"/>
          <w:sz w:val="24"/>
          <w:szCs w:val="24"/>
        </w:rPr>
        <w:t xml:space="preserve">El desarrollo se plantea en cinco versiones sucesivas, cada una con un producto verificable y un criterio de aceptación explícito: un modelo estacionario que sirve de verificación y de condición inicial; un modelo transitorio de espesor constante acotado a la etapa de enfriamiento, que es el alcance acordado para la primera entrega; su extensión al precalentamiento, que produce el entregable operativo; la extensión al ciclo completo; y finalmente la incorporación del desgaste del revestimiento con el número de coladas. Se propone construir la versión estacionaria en hoja de cálculo y todas las versiones transitorias en Python.</w:t>
      </w:r>
    </w:p>
    <w:p>
      <w:pPr>
        <w:spacing w:after="120" w:line="276"/>
        <w:jc w:val="both"/>
      </w:pPr>
      <w:r>
        <w:rPr>
          <w:rFonts w:ascii="Times New Roman" w:cs="Times New Roman" w:eastAsia="Times New Roman" w:hAnsi="Times New Roman"/>
          <w:b w:val="false"/>
          <w:bCs w:val="false"/>
          <w:i w:val="false"/>
          <w:iCs w:val="false"/>
          <w:sz w:val="24"/>
          <w:szCs w:val="24"/>
        </w:rPr>
        <w:t xml:space="preserve">La propuesta se apoya en un cuerpo bibliográfico verificado de veinticinco fuentes. El trabajo de Volkova y Janke (2003) es el antecedente más cercano al modelo objetivo y demuestra que una formulación de Fourier multicapa por etapas reproduce mediciones industriales; Glaser, Görnerup y Sichen (2011) constituyen la referencia específica del precalentamiento; Zimmer y colaboradores (2008) aportan datos de perfil medido y evidencia de resistencia térmica de contacto entre capas; Campos y colaboradores (2020) cuantifican el compromiso entre aislar y sobrecalentar la cara caliente; y Ali y colaboradores (2020) enlazan el perfil térmico con la apertura de juntas y por lo tanto con el riesgo de infiltración.</w:t>
      </w:r>
    </w:p>
    <w:p>
      <w:pPr>
        <w:pageBreakBefore/>
        <w:spacing w:after="200" w:before="400"/>
        <w:jc w:val="center"/>
      </w:pPr>
      <w:r>
        <w:rPr>
          <w:rFonts w:ascii="Times New Roman" w:cs="Times New Roman" w:eastAsia="Times New Roman" w:hAnsi="Times New Roman"/>
          <w:b/>
          <w:bCs/>
          <w:sz w:val="24"/>
          <w:szCs w:val="24"/>
          <w:u w:val="single"/>
        </w:rPr>
        <w:t xml:space="preserve">2. OBJETIVO</w:t>
      </w:r>
    </w:p>
    <w:p>
      <w:pPr>
        <w:spacing w:after="100" w:before="240"/>
        <w:jc w:val="left"/>
      </w:pPr>
      <w:r>
        <w:rPr>
          <w:rFonts w:ascii="Times New Roman" w:cs="Times New Roman" w:eastAsia="Times New Roman" w:hAnsi="Times New Roman"/>
          <w:b/>
          <w:bCs/>
          <w:sz w:val="24"/>
          <w:szCs w:val="24"/>
        </w:rPr>
        <w:t xml:space="preserve">2.1 Objetivo general</w:t>
      </w:r>
    </w:p>
    <w:p>
      <w:pPr>
        <w:spacing w:after="120" w:line="276"/>
        <w:jc w:val="both"/>
      </w:pPr>
      <w:r>
        <w:rPr>
          <w:rFonts w:ascii="Times New Roman" w:cs="Times New Roman" w:eastAsia="Times New Roman" w:hAnsi="Times New Roman"/>
          <w:b w:val="false"/>
          <w:bCs w:val="false"/>
          <w:i w:val="false"/>
          <w:iCs w:val="false"/>
          <w:sz w:val="24"/>
          <w:szCs w:val="24"/>
        </w:rPr>
        <w:t xml:space="preserve">Desarrollar y validar un modelo térmico transitorio unidimensional que entregue el perfil de temperatura a través del espesor de las capas del revestimiento refractario de una olla de acería, con la finalidad de definir el tiempo mínimo de precalentamiento necesario para recibir acero líquido de forma segura, evitando el choque térmico del refractario, el enfriamiento del acero y la infiltración por apertura de juntas.</w:t>
      </w:r>
    </w:p>
    <w:p>
      <w:pPr>
        <w:spacing w:after="100" w:before="240"/>
        <w:jc w:val="left"/>
      </w:pPr>
      <w:r>
        <w:rPr>
          <w:rFonts w:ascii="Times New Roman" w:cs="Times New Roman" w:eastAsia="Times New Roman" w:hAnsi="Times New Roman"/>
          <w:b/>
          <w:bCs/>
          <w:sz w:val="24"/>
          <w:szCs w:val="24"/>
        </w:rPr>
        <w:t xml:space="preserve">2.2 Objetivos específicos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OE-1: </w:t>
      </w:r>
      <w:r>
        <w:rPr>
          <w:rFonts w:ascii="Times New Roman" w:cs="Times New Roman" w:eastAsia="Times New Roman" w:hAnsi="Times New Roman"/>
          <w:sz w:val="24"/>
          <w:szCs w:val="24"/>
        </w:rPr>
        <w:t xml:space="preserve">Formular el problema de conducción transitoria unidimensional en coordenadas cilíndricas para un revestimiento de cinco capas, con propiedades dependientes de la temperatura y condiciones de frontera radiativas y convectivas.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OE-2: </w:t>
      </w:r>
      <w:r>
        <w:rPr>
          <w:rFonts w:ascii="Times New Roman" w:cs="Times New Roman" w:eastAsia="Times New Roman" w:hAnsi="Times New Roman"/>
          <w:sz w:val="24"/>
          <w:szCs w:val="24"/>
        </w:rPr>
        <w:t xml:space="preserve">Construir y verificar un modelo estacionario multicapa que sirva como caso de verificación del código transitorio y como generador de la condición inicial.</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OE-3: </w:t>
      </w:r>
      <w:r>
        <w:rPr>
          <w:rFonts w:ascii="Times New Roman" w:cs="Times New Roman" w:eastAsia="Times New Roman" w:hAnsi="Times New Roman"/>
          <w:sz w:val="24"/>
          <w:szCs w:val="24"/>
        </w:rPr>
        <w:t xml:space="preserve">Implementar el modelo transitorio en Python mediante volumen finito con esquema implícito, y verificarlo contra solución analítica, balance de energía e independencia de malla.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OE-4: </w:t>
      </w:r>
      <w:r>
        <w:rPr>
          <w:rFonts w:ascii="Times New Roman" w:cs="Times New Roman" w:eastAsia="Times New Roman" w:hAnsi="Times New Roman"/>
          <w:sz w:val="24"/>
          <w:szCs w:val="24"/>
        </w:rPr>
        <w:t xml:space="preserve">Simular la etapa de enfriamiento de la olla vacía, entre el fin de colado en el caster y el inicio del precalentamiento, y entregar el perfil de temperatura que ingresa al precalentador en función del tiempo de espera.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OE-5: </w:t>
      </w:r>
      <w:r>
        <w:rPr>
          <w:rFonts w:ascii="Times New Roman" w:cs="Times New Roman" w:eastAsia="Times New Roman" w:hAnsi="Times New Roman"/>
          <w:sz w:val="24"/>
          <w:szCs w:val="24"/>
        </w:rPr>
        <w:t xml:space="preserve">Extender el modelo a la etapa de precalentamiento y determinar el tiempo mínimo requerido en función del estado térmico inicial de la olla.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OE-6: </w:t>
      </w:r>
      <w:r>
        <w:rPr>
          <w:rFonts w:ascii="Times New Roman" w:cs="Times New Roman" w:eastAsia="Times New Roman" w:hAnsi="Times New Roman"/>
          <w:sz w:val="24"/>
          <w:szCs w:val="24"/>
        </w:rPr>
        <w:t xml:space="preserve">Establecer un criterio cuantitativo de olla precalentada que no dependa únicamente de la temperatura de la cara caliente, sino también del estado térmico del interior del revestimiento.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OE-7: </w:t>
      </w:r>
      <w:r>
        <w:rPr>
          <w:rFonts w:ascii="Times New Roman" w:cs="Times New Roman" w:eastAsia="Times New Roman" w:hAnsi="Times New Roman"/>
          <w:sz w:val="24"/>
          <w:szCs w:val="24"/>
        </w:rPr>
        <w:t xml:space="preserve">Validar el modelo contra mediciones de temperatura de coraza y de cara caliente obtenidas en una colada instrumentada.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OE-8: </w:t>
      </w:r>
      <w:r>
        <w:rPr>
          <w:rFonts w:ascii="Times New Roman" w:cs="Times New Roman" w:eastAsia="Times New Roman" w:hAnsi="Times New Roman"/>
          <w:sz w:val="24"/>
          <w:szCs w:val="24"/>
        </w:rPr>
        <w:t xml:space="preserve">Incorporar la pérdida de espesor de la capa de trabajo con el número de coladas y evaluar su efecto sobre el tiempo de precalentamiento requerido.</w:t>
      </w:r>
    </w:p>
    <w:p>
      <w:pPr>
        <w:pageBreakBefore/>
        <w:spacing w:after="200" w:before="400"/>
        <w:jc w:val="center"/>
      </w:pPr>
      <w:r>
        <w:rPr>
          <w:rFonts w:ascii="Times New Roman" w:cs="Times New Roman" w:eastAsia="Times New Roman" w:hAnsi="Times New Roman"/>
          <w:b/>
          <w:bCs/>
          <w:sz w:val="24"/>
          <w:szCs w:val="24"/>
          <w:u w:val="single"/>
        </w:rPr>
        <w:t xml:space="preserve">3. DESCRIPCIÓN DEL PROBLEMA</w:t>
      </w:r>
    </w:p>
    <w:p>
      <w:pPr>
        <w:spacing w:after="100" w:before="240"/>
        <w:jc w:val="left"/>
      </w:pPr>
      <w:r>
        <w:rPr>
          <w:rFonts w:ascii="Times New Roman" w:cs="Times New Roman" w:eastAsia="Times New Roman" w:hAnsi="Times New Roman"/>
          <w:b/>
          <w:bCs/>
          <w:sz w:val="24"/>
          <w:szCs w:val="24"/>
        </w:rPr>
        <w:t xml:space="preserve">3.1 Contexto operativo</w:t>
      </w:r>
    </w:p>
    <w:p>
      <w:pPr>
        <w:spacing w:after="120" w:line="276"/>
        <w:jc w:val="both"/>
      </w:pPr>
      <w:r>
        <w:rPr>
          <w:rFonts w:ascii="Times New Roman" w:cs="Times New Roman" w:eastAsia="Times New Roman" w:hAnsi="Times New Roman"/>
          <w:b w:val="false"/>
          <w:bCs w:val="false"/>
          <w:i w:val="false"/>
          <w:iCs w:val="false"/>
          <w:sz w:val="24"/>
          <w:szCs w:val="24"/>
        </w:rPr>
        <w:t xml:space="preserve">Entre el fin de la colada continua y el siguiente sangrado, la olla queda vacía y se enfría. Después pasa por el precalentador durante un tiempo que en la práctica se fija por costumbre, por disponibilidad del equipo o por la lectura de un pirómetro sobre la cara caliente, y a continuación recibe acero a más de 1600 °C. El tiempo que la olla permaneció vacía antes de entrar al precalentador es muy variable —desde unos quince minutos en rotación normal hasta varias horas tras un paro de la máquina de colada— y determina por completo el estado térmico con el que la olla llega al precalentador.</w:t>
      </w:r>
    </w:p>
    <w:p>
      <w:pPr>
        <w:spacing w:after="120" w:line="276"/>
        <w:jc w:val="both"/>
      </w:pPr>
      <w:r>
        <w:rPr>
          <w:rFonts w:ascii="Times New Roman" w:cs="Times New Roman" w:eastAsia="Times New Roman" w:hAnsi="Times New Roman"/>
          <w:b w:val="false"/>
          <w:bCs w:val="false"/>
          <w:i w:val="false"/>
          <w:iCs w:val="false"/>
          <w:sz w:val="24"/>
          <w:szCs w:val="24"/>
        </w:rPr>
        <w:t xml:space="preserve">Esa variabilidad no se traduce hoy en una decisión diferenciada: la olla que estuvo quince minutos vacía y la que estuvo ocho horas suelen precalentarse el mismo tiempo. El resultado es que unas ollas se precalientan de más, con desperdicio de gas, inmovilización del equipo y oxidación del carbono del refractario, y otras se precalientan de menos, con las consecuencias que se describen enseguida.</w:t>
      </w:r>
    </w:p>
    <w:p>
      <w:pPr>
        <w:spacing w:after="100" w:before="240"/>
        <w:jc w:val="left"/>
      </w:pPr>
      <w:r>
        <w:rPr>
          <w:rFonts w:ascii="Times New Roman" w:cs="Times New Roman" w:eastAsia="Times New Roman" w:hAnsi="Times New Roman"/>
          <w:b/>
          <w:bCs/>
          <w:sz w:val="24"/>
          <w:szCs w:val="24"/>
        </w:rPr>
        <w:t xml:space="preserve">3.2 Los tres modos de falla y su origen común</w:t>
      </w:r>
    </w:p>
    <w:p>
      <w:pPr>
        <w:spacing w:after="120" w:line="276"/>
        <w:jc w:val="both"/>
      </w:pPr>
      <w:r>
        <w:rPr>
          <w:rFonts w:ascii="Times New Roman" w:cs="Times New Roman" w:eastAsia="Times New Roman" w:hAnsi="Times New Roman"/>
          <w:b w:val="false"/>
          <w:bCs w:val="false"/>
          <w:i w:val="false"/>
          <w:iCs w:val="false"/>
          <w:sz w:val="24"/>
          <w:szCs w:val="24"/>
        </w:rPr>
        <w:t xml:space="preserve">Vaciar acero en una olla insuficientemente precalentada produce tres efectos simultáneos que suelen tratarse como problemas separados, y que en realidad tienen el mismo origen físico: un perfil de temperatura insuficientemente desarrollado hacia el interior del revestimiento.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Choque térmico del refractario: </w:t>
      </w:r>
      <w:r>
        <w:rPr>
          <w:rFonts w:ascii="Times New Roman" w:cs="Times New Roman" w:eastAsia="Times New Roman" w:hAnsi="Times New Roman"/>
          <w:sz w:val="24"/>
          <w:szCs w:val="24"/>
        </w:rPr>
        <w:t xml:space="preserve">la cara caliente pasa a la temperatura del acero en segundos mientras el interior sigue frío. El gradiente resultante genera esfuerzos térmicos que, con restricción total, valen σ = E·α_t·ΔT/(1 − ν). Para un MgO-C con E ≈ 10 GPa, α_t ≈ 1 × 10⁻⁵ K⁻¹ y ν = 0.2, un gradiente de apenas 100 °C a través de la capa de trabajo produce 12.5 MPa, del orden del módulo de ruptura del material. El marco de análisis es el de Kingery (1955) y Hasselman (1969).</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Enfriamiento del acero: </w:t>
      </w:r>
      <w:r>
        <w:rPr>
          <w:rFonts w:ascii="Times New Roman" w:cs="Times New Roman" w:eastAsia="Times New Roman" w:hAnsi="Times New Roman"/>
          <w:sz w:val="24"/>
          <w:szCs w:val="24"/>
        </w:rPr>
        <w:t xml:space="preserve">el revestimiento frío absorbe energía del baño en los primeros minutos. Con los espesores del caso de referencia, la capa de trabajo por sí sola almacena el 63 % de la capacidad térmica del revestimiento; llenarla de energía a costa del acero obliga a sobrecalentar en el horno. Campos y colaboradores (2020) cuantificaron efectos de esta magnitud al comparar diseños de revestimiento, con diferencias de hasta 34 °C en la temperatura del acero.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Infiltración por apertura de juntas: </w:t>
      </w:r>
      <w:r>
        <w:rPr>
          <w:rFonts w:ascii="Times New Roman" w:cs="Times New Roman" w:eastAsia="Times New Roman" w:hAnsi="Times New Roman"/>
          <w:sz w:val="24"/>
          <w:szCs w:val="24"/>
        </w:rPr>
        <w:t xml:space="preserve">la mampostería se instala con juntas para que el ladrillo tenga dónde dilatarse. Un ladrillo de 200 mm con α_t = 1.2 × 10⁻⁵ K⁻¹ calentado 1175 °C se dilata 2.8 mm, de modo que una junta de 2 mm cierra por completo y el anillo trabaja en compresión, que es el estado estanco. En una olla fría las juntas de las capas interiores permanecen abiertas y ofrecen un camino al metal y a la escoria. Ali y colaboradores (2020) demostraron que ese cierre y reapertura hacen que el comportamiento de la mampostería sea ortótropo y no lineal.</w:t>
      </w:r>
    </w:p>
    <w:p>
      <w:pPr>
        <w:spacing w:after="100" w:before="240"/>
        <w:jc w:val="left"/>
      </w:pPr>
      <w:r>
        <w:rPr>
          <w:rFonts w:ascii="Times New Roman" w:cs="Times New Roman" w:eastAsia="Times New Roman" w:hAnsi="Times New Roman"/>
          <w:b/>
          <w:bCs/>
          <w:sz w:val="24"/>
          <w:szCs w:val="24"/>
        </w:rPr>
        <w:t xml:space="preserve">3.3 Por qué la instrumentación actual no basta</w:t>
      </w:r>
    </w:p>
    <w:p>
      <w:pPr>
        <w:spacing w:after="120" w:line="276"/>
        <w:jc w:val="both"/>
      </w:pPr>
      <w:r>
        <w:rPr>
          <w:rFonts w:ascii="Times New Roman" w:cs="Times New Roman" w:eastAsia="Times New Roman" w:hAnsi="Times New Roman"/>
          <w:b w:val="false"/>
          <w:bCs w:val="false"/>
          <w:i w:val="false"/>
          <w:iCs w:val="false"/>
          <w:sz w:val="24"/>
          <w:szCs w:val="24"/>
        </w:rPr>
        <w:t xml:space="preserve">La cara caliente y el conjunto del revestimiento responden en escalas de tiempo completamente distintas. Con las propiedades del caso de referencia, la capa de trabajo tiene una difusividad de 2.6 × 10⁻⁶ m²/s y un tiempo característico de recorrido de aproximadamente una hora, mientras que la constante de tiempo del revestimiento completo, calculada como el producto de su resistencia por su capacidad térmica, es de 28 horas.</w:t>
      </w:r>
    </w:p>
    <w:p>
      <w:pPr>
        <w:spacing w:after="120" w:line="276"/>
        <w:jc w:val="both"/>
      </w:pPr>
      <w:r>
        <w:rPr>
          <w:rFonts w:ascii="Times New Roman" w:cs="Times New Roman" w:eastAsia="Times New Roman" w:hAnsi="Times New Roman"/>
          <w:b w:val="false"/>
          <w:bCs w:val="false"/>
          <w:i w:val="false"/>
          <w:iCs w:val="false"/>
          <w:sz w:val="24"/>
          <w:szCs w:val="24"/>
        </w:rPr>
        <w:t xml:space="preserve">De esa desproporción se sigue el problema central del proyecto: la superficie se calienta y se enfría mucho más rápido que la masa que hay detrás. Una olla puede leer 1100 °C en el pirómetro con la interfaz entre la capa de trabajo y la de seguridad todavía por debajo de 400 °C, es decir, cumpliendo el criterio superficial y sin estar precalentada. La única forma de conocer esa temperatura interior es calcularla, porque no existe instrumento que la mida en operación.</w:t>
      </w:r>
    </w:p>
    <w:p>
      <w:pPr>
        <w:spacing w:after="120" w:line="276"/>
        <w:jc w:val="both"/>
      </w:pPr>
      <w:r>
        <w:rPr>
          <w:rFonts w:ascii="Times New Roman" w:cs="Times New Roman" w:eastAsia="Times New Roman" w:hAnsi="Times New Roman"/>
          <w:b w:val="false"/>
          <w:bCs w:val="false"/>
          <w:i w:val="false"/>
          <w:iCs w:val="false"/>
          <w:sz w:val="24"/>
          <w:szCs w:val="24"/>
        </w:rPr>
        <w:t xml:space="preserve">Un dato adicional refuerza el argumento. Repartiendo la resistencia y la capacidad térmica entre las cinco capas del caso de referencia resulta lo siguiente:</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tcW w:type="pct" w:w="1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Capa</w:t>
            </w:r>
          </w:p>
        </w:tc>
        <w:tc>
          <w:tcPr>
            <w:tcW w:type="pct" w:w="1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Espesor (mm)</w:t>
            </w:r>
          </w:p>
        </w:tc>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 de la resistencia térmica</w:t>
            </w:r>
          </w:p>
        </w:tc>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 de la capacidad térmica</w:t>
            </w:r>
          </w:p>
        </w:tc>
        <w:tc>
          <w:tcPr>
            <w:tcW w:type="pct" w:w="27%"/>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Lectura</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Trabajo</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127</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9.9 %</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62.9 %</w:t>
            </w:r>
          </w:p>
        </w:tc>
        <w:tc>
          <w:tcPr>
            <w:tcW w:type="pct" w:w="2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 la batería térmica del sistema: almacena casi dos tercios de la energía</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 Junta seca</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12.5</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9.3 %</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3.6 %</w:t>
            </w:r>
          </w:p>
        </w:tc>
        <w:tc>
          <w:tcPr>
            <w:tcW w:type="pct" w:w="2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 12.5 mm frena tanto como los 127 mm de capa de trabajo</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 Seguridad</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76</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27.7 %</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31.6 %</w:t>
            </w:r>
          </w:p>
        </w:tc>
        <w:tc>
          <w:tcPr>
            <w:tcW w:type="pct" w:w="2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Aporta a ambas cosas de forma equilibrada</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 Aislante</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13</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53.1 %</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0.8 %</w:t>
            </w:r>
          </w:p>
        </w:tc>
        <w:tc>
          <w:tcPr>
            <w:tcW w:type="pct" w:w="2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 la válvula del sistema: frena más de la mitad y no almacena nada</w:t>
            </w:r>
          </w:p>
        </w:tc>
      </w:tr>
      <w:tr>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 Coraza</w:t>
            </w:r>
          </w:p>
        </w:tc>
        <w:tc>
          <w:tcPr>
            <w:tcW w:type="pct" w:w="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0.0 %</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1.1 %</w:t>
            </w:r>
          </w:p>
        </w:tc>
        <w:tc>
          <w:tcPr>
            <w:tcW w:type="pct" w:w="2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Térmicamente transparente; solo aporta inercia</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lectura de la tabla es que el revestimiento se comporta como una batería —la capa de trabajo— detrás de una válvula —el aislante y la junta seca—. Precalentar consiste en cargar esa batería, y el pirómetro solo ve la superficie de la carcasa. Ninguna de estas dos capas críticas tiene hoy propiedades medidas.</w:t>
      </w:r>
    </w:p>
    <w:p>
      <w:pPr>
        <w:spacing w:after="100" w:before="240"/>
        <w:jc w:val="left"/>
      </w:pPr>
      <w:r>
        <w:rPr>
          <w:rFonts w:ascii="Times New Roman" w:cs="Times New Roman" w:eastAsia="Times New Roman" w:hAnsi="Times New Roman"/>
          <w:b/>
          <w:bCs/>
          <w:sz w:val="24"/>
          <w:szCs w:val="24"/>
        </w:rPr>
        <w:t xml:space="preserve">3.4 Lo que aporta el modelo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Visibilidad: </w:t>
      </w:r>
      <w:r>
        <w:rPr>
          <w:rFonts w:ascii="Times New Roman" w:cs="Times New Roman" w:eastAsia="Times New Roman" w:hAnsi="Times New Roman"/>
          <w:sz w:val="24"/>
          <w:szCs w:val="24"/>
        </w:rPr>
        <w:t xml:space="preserve">el perfil completo T(x, t) a través de las cinco capas en cualquier instante, que es información que ningún instrumento entrega.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Decisión diferenciada: </w:t>
      </w:r>
      <w:r>
        <w:rPr>
          <w:rFonts w:ascii="Times New Roman" w:cs="Times New Roman" w:eastAsia="Times New Roman" w:hAnsi="Times New Roman"/>
          <w:sz w:val="24"/>
          <w:szCs w:val="24"/>
        </w:rPr>
        <w:t xml:space="preserve">el tiempo de precalentamiento en función del estado real de cada olla y no de una práctica única.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Criterio verificable: </w:t>
      </w:r>
      <w:r>
        <w:rPr>
          <w:rFonts w:ascii="Times New Roman" w:cs="Times New Roman" w:eastAsia="Times New Roman" w:hAnsi="Times New Roman"/>
          <w:sz w:val="24"/>
          <w:szCs w:val="24"/>
        </w:rPr>
        <w:t xml:space="preserve">un umbral cuantitativo de olla precalentada que puede contrastarse contra las curvas de calentamiento recomendadas por el fabricante del refractario, publicadas por Harbison-Walker (2005).</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Base para trabajos posteriores: </w:t>
      </w:r>
      <w:r>
        <w:rPr>
          <w:rFonts w:ascii="Times New Roman" w:cs="Times New Roman" w:eastAsia="Times New Roman" w:hAnsi="Times New Roman"/>
          <w:sz w:val="24"/>
          <w:szCs w:val="24"/>
        </w:rPr>
        <w:t xml:space="preserve">la historia de temperatura de la cara caliente es la variable que gobierna la velocidad de corrosión y de desgaste, lo que enlaza este modelo con el trabajo de predicción de vida de campaña.</w:t>
      </w:r>
    </w:p>
    <w:p>
      <w:pPr>
        <w:spacing w:after="100" w:before="240"/>
        <w:jc w:val="left"/>
      </w:pPr>
      <w:r>
        <w:rPr>
          <w:rFonts w:ascii="Times New Roman" w:cs="Times New Roman" w:eastAsia="Times New Roman" w:hAnsi="Times New Roman"/>
          <w:b/>
          <w:bCs/>
          <w:sz w:val="24"/>
          <w:szCs w:val="24"/>
        </w:rPr>
        <w:t xml:space="preserve">3.5 Antecedentes bibliográficos que sostienen la viabilidad</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Referencia</w:t>
            </w:r>
          </w:p>
        </w:tc>
        <w:tc>
          <w:tcPr>
            <w:tcW w:type="pct" w:w="4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Qué demuestra</w:t>
            </w:r>
          </w:p>
        </w:tc>
        <w:tc>
          <w:tcPr>
            <w:tcW w:type="pct" w:w="3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Qué aporta a este proyecto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Fredman (2000a)</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Revisión crítica de cuatro décadas de modelos térmicos de olla, con comparación de dimensionalidades, condiciones de frontera y coeficientes</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Evita repetir simplificaciones ya descartadas y da rangos de referencia para h y ε</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Volkova y Janke (2003)</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 modelo de Fourier multicapa resuelto por etapas del ciclo reproduce mediciones industriales, e incorpora el desgaste como reducción de espesor</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 el antecedente más cercano; valida el enfoque y da la estructura de cálculo por etapas</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Fredman, Torrkulla y Saxén (1999)</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Modelo bidimensional validado en planta; los efectos 2D se concentran en fondo y esquinas</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Acota el error de trabajar en una dimensión y delimita la zona de validez</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Zimmer et al. (2008)</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Perfil medido entre cara caliente y cara fría en olla industrial; resistencia térmica de contacto entre capas no despreciable</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Datos de validación y justificación para incluir R″c como parámetro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Glaser, Görnerup y Sichen (2011)</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Modelo térmico del proceso de precalentamiento con la física del quemador</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Referencia central de la etapa que produce el entregable operativo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Campos et al. (2020)</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Efecto de la capa aislante sobre temperatura del acero, temperatura de coraza y energía almacenada</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Cuantifica el compromiso entre aislar y elevar la cara caliente</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Ali et al. (2020)</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Cierre y reapertura de juntas con la temperatura; esfuerzos que disminuyen al aumentar el espesor de junta</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Enlaza el perfil térmico con el riesgo de infiltración</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Mäkelä, Visuri y Fabritius (2023)</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Modelo reciente del estado térmico de la olla en ciclo completo, validado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Estado del arte actual y referencia para la arquitectura del programa</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4. ALCANCE</w:t>
      </w:r>
    </w:p>
    <w:p>
      <w:pPr>
        <w:spacing w:after="100" w:before="240"/>
        <w:jc w:val="left"/>
      </w:pPr>
      <w:r>
        <w:rPr>
          <w:rFonts w:ascii="Times New Roman" w:cs="Times New Roman" w:eastAsia="Times New Roman" w:hAnsi="Times New Roman"/>
          <w:b/>
          <w:bCs/>
          <w:sz w:val="24"/>
          <w:szCs w:val="24"/>
        </w:rPr>
        <w:t xml:space="preserve">4.1 Alcance de la primera versión</w:t>
      </w:r>
    </w:p>
    <w:p>
      <w:pPr>
        <w:spacing w:after="120" w:line="276"/>
        <w:jc w:val="both"/>
      </w:pPr>
      <w:r>
        <w:rPr>
          <w:rFonts w:ascii="Times New Roman" w:cs="Times New Roman" w:eastAsia="Times New Roman" w:hAnsi="Times New Roman"/>
          <w:b w:val="false"/>
          <w:bCs w:val="false"/>
          <w:i w:val="false"/>
          <w:iCs w:val="false"/>
          <w:sz w:val="24"/>
          <w:szCs w:val="24"/>
        </w:rPr>
        <w:t xml:space="preserve">De común acuerdo se acotó la primera versión a una sola ventana del ciclo y a una sola dirección del flujo de calor, con el fin de tener un modelo funcionando y verificado antes de agregar complejidad.</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Ventana temporal: </w:t>
      </w:r>
      <w:r>
        <w:rPr>
          <w:rFonts w:ascii="Times New Roman" w:cs="Times New Roman" w:eastAsia="Times New Roman" w:hAnsi="Times New Roman"/>
          <w:sz w:val="24"/>
          <w:szCs w:val="24"/>
        </w:rPr>
        <w:t xml:space="preserve">desde el fin de colado en el caster hasta el inicio del precalentamiento, con la olla vacía.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Dominio espacial: </w:t>
      </w:r>
      <w:r>
        <w:rPr>
          <w:rFonts w:ascii="Times New Roman" w:cs="Times New Roman" w:eastAsia="Times New Roman" w:hAnsi="Times New Roman"/>
          <w:sz w:val="24"/>
          <w:szCs w:val="24"/>
        </w:rPr>
        <w:t xml:space="preserve">el espesor de la pared a media altura, desde la cara caliente del refractario hasta la cara exterior de la coraza, en coordenadas cilíndricas.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Configuración: </w:t>
      </w:r>
      <w:r>
        <w:rPr>
          <w:rFonts w:ascii="Times New Roman" w:cs="Times New Roman" w:eastAsia="Times New Roman" w:hAnsi="Times New Roman"/>
          <w:sz w:val="24"/>
          <w:szCs w:val="24"/>
        </w:rPr>
        <w:t xml:space="preserve">cinco capas: trabajo 127 mm, junta seca 12.5 mm, seguridad 76 mm, aislante 13 mm y coraza 1.5 mm, con un total de 230 mm.</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Fenómenos representados: </w:t>
      </w:r>
      <w:r>
        <w:rPr>
          <w:rFonts w:ascii="Times New Roman" w:cs="Times New Roman" w:eastAsia="Times New Roman" w:hAnsi="Times New Roman"/>
          <w:sz w:val="24"/>
          <w:szCs w:val="24"/>
        </w:rPr>
        <w:t xml:space="preserve">conducción transitoria en el espesor; radiación desde la cara caliente hacia el interior de la olla, que es el mecanismo dominante del enfriamiento; convección natural del aire de la cavidad; y pérdida por la cara fría por convección natural más radiación.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Producto: </w:t>
      </w:r>
      <w:r>
        <w:rPr>
          <w:rFonts w:ascii="Times New Roman" w:cs="Times New Roman" w:eastAsia="Times New Roman" w:hAnsi="Times New Roman"/>
          <w:sz w:val="24"/>
          <w:szCs w:val="24"/>
        </w:rPr>
        <w:t xml:space="preserve">el perfil de temperatura con el que la olla llega al precalentador, en función del tiempo que permaneció vacía.</w:t>
      </w:r>
    </w:p>
    <w:p>
      <w:pPr>
        <w:spacing w:after="100" w:before="240"/>
        <w:jc w:val="left"/>
      </w:pPr>
      <w:r>
        <w:rPr>
          <w:rFonts w:ascii="Times New Roman" w:cs="Times New Roman" w:eastAsia="Times New Roman" w:hAnsi="Times New Roman"/>
          <w:b/>
          <w:bCs/>
          <w:sz w:val="24"/>
          <w:szCs w:val="24"/>
        </w:rPr>
        <w:t xml:space="preserve">4.2 Qué queda fuera de la primera versión y por qué</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Fuera de alcance</w:t>
            </w:r>
          </w:p>
        </w:tc>
        <w:tc>
          <w:tcPr>
            <w:tcW w:type="pct" w:w="4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Motivo</w:t>
            </w:r>
          </w:p>
        </w:tc>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Cuándo se incorpora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Etapas con acero dentro de la olla: llenado, transporte, horno cuchara y colada continua</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 intervienen mientras la olla está vacía; su efecto entra a través de la condición inicial</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Versión V3, ciclo completo</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Altura del acero, masa por colada, agitación con argón y estratificación del baño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Son propiedades del baño, ausente en la ventana modelada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Solo si se decide predecir la temperatura del acero</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Etapa de precalentamiento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 el paso siguiente, y requiere datos del quemador que aún no se tienen</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Versión V2</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Fondo, esquina pared-fondo y línea de escoria</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Tienen comportamiento bidimensional; el 1D radial no aplica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Requeriría un modelo 2D; fuera del proyecto</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Desgaste del revestimiento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 fija espesor constante hasta tener el modelo validado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Versión V4</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Análisis termomecánico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modelo entrega temperaturas; los esfuerzos y la apertura de juntas se estiman a partir de ellas de forma aproximada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Estimación de primer orden en V2; el problema real es 2D o 3D</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Secado y deshidratación de monolíticos</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revestimiento considerado es de ladrillo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Solo si se modelara el primer calentamiento de un castable</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4.3 Suposiciones declaradas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3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Suposición</w:t>
            </w:r>
          </w:p>
        </w:tc>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Respaldo</w:t>
            </w:r>
          </w:p>
        </w:tc>
        <w:tc>
          <w:tcPr>
            <w:tcW w:type="pct" w:w="3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Cuándo deja de ser válida</w:t>
            </w:r>
          </w:p>
        </w:tc>
      </w:tr>
      <w:tr>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Conducción puramente radial; se desprecian gradientes axiales</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Fredman et al. (1999)</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 fondo, esquina y línea de escoria</w:t>
            </w:r>
          </w:p>
        </w:tc>
      </w:tr>
      <w:tr>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Geometría cilíndrica multicapa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e/r₁ = 0.18 en el caso de referencia</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Nunca; es la formulación correcta y no cuesta más</w:t>
            </w:r>
          </w:p>
        </w:tc>
      </w:tr>
      <w:tr>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Contacto térmico perfecto entre capas en la primera corrida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Simplificación inicial</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Zimmer et al. (2008) evidencian resistencia de contacto; se introduce R″c en la calibración</w:t>
            </w:r>
          </w:p>
        </w:tc>
      </w:tr>
      <w:tr>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Propiedades constantes por capa en la versión estacionaria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Necesario para la verificación analítica</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 el transitorio se usa k(T) y cp(T)</w:t>
            </w:r>
          </w:p>
        </w:tc>
      </w:tr>
      <w:tr>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en la cara caliente tratada como cavidad con emisividad efectiva igual a la fracción de boca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Cavidad isoterma y casi negra; F = r/(2H + r) ≈ 0.18</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interior no es isotérmico: fondo y línea de escoria difieren; es un tratamiento de primer orden</w:t>
            </w:r>
          </w:p>
        </w:tc>
      </w:tr>
      <w:tr>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constante, sin desgaste</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Válido para olla recién revestida</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 partir de las primeras decenas de coladas</w:t>
            </w:r>
          </w:p>
        </w:tc>
      </w:tr>
      <w:tr>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Sin costra ni escoria residual adherida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Simplificación</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 queda costra, actúa como capa adicional y altera la lectura del pirómetro</w:t>
            </w:r>
          </w:p>
        </w:tc>
      </w:tr>
      <w:tr>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Sin cambio de fase ni generación interna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Revestimiento de ladrillo seco y estabilizado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 el primer calentamiento de un monolítico</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4.4 Criterios de éxito del proyecto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Técnico: </w:t>
      </w:r>
      <w:r>
        <w:rPr>
          <w:rFonts w:ascii="Times New Roman" w:cs="Times New Roman" w:eastAsia="Times New Roman" w:hAnsi="Times New Roman"/>
          <w:sz w:val="24"/>
          <w:szCs w:val="24"/>
        </w:rPr>
        <w:t xml:space="preserve">el modelo reproduce la temperatura de coraza medida con un error menor a 25 °C y la temperatura de cara caliente con un error menor a 50 °C, sostenido a lo largo de toda la ventana simulada y no solo en un instante.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Físico: </w:t>
      </w:r>
      <w:r>
        <w:rPr>
          <w:rFonts w:ascii="Times New Roman" w:cs="Times New Roman" w:eastAsia="Times New Roman" w:hAnsi="Times New Roman"/>
          <w:sz w:val="24"/>
          <w:szCs w:val="24"/>
        </w:rPr>
        <w:t xml:space="preserve">el modelo reproduce cualitativamente el desplazamiento del máximo de temperatura hacia el interior del refractario cuando la olla se vacía, que es la firma característica de esta etapa.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Operativo: </w:t>
      </w:r>
      <w:r>
        <w:rPr>
          <w:rFonts w:ascii="Times New Roman" w:cs="Times New Roman" w:eastAsia="Times New Roman" w:hAnsi="Times New Roman"/>
          <w:sz w:val="24"/>
          <w:szCs w:val="24"/>
        </w:rPr>
        <w:t xml:space="preserve">el modelo entrega una tabla o curva que, dada la lectura de pirómetro al entrar la olla al precalentador, indique el tiempo de precalentamiento requerido.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Metodológico: </w:t>
      </w:r>
      <w:r>
        <w:rPr>
          <w:rFonts w:ascii="Times New Roman" w:cs="Times New Roman" w:eastAsia="Times New Roman" w:hAnsi="Times New Roman"/>
          <w:sz w:val="24"/>
          <w:szCs w:val="24"/>
        </w:rPr>
        <w:t xml:space="preserve">todo resultado va acompañado de sus suposiciones, de la fuente de cada dato de entrada y de su incertidumbre.</w:t>
      </w:r>
    </w:p>
    <w:p>
      <w:pPr>
        <w:pageBreakBefore/>
        <w:spacing w:after="200" w:before="400"/>
        <w:jc w:val="center"/>
      </w:pPr>
      <w:r>
        <w:rPr>
          <w:rFonts w:ascii="Times New Roman" w:cs="Times New Roman" w:eastAsia="Times New Roman" w:hAnsi="Times New Roman"/>
          <w:b/>
          <w:bCs/>
          <w:sz w:val="24"/>
          <w:szCs w:val="24"/>
          <w:u w:val="single"/>
        </w:rPr>
        <w:t xml:space="preserve">5. DESARROLLO PROPUESTO</w:t>
      </w:r>
    </w:p>
    <w:p>
      <w:pPr>
        <w:spacing w:after="120" w:line="276"/>
        <w:jc w:val="both"/>
      </w:pPr>
      <w:r>
        <w:rPr>
          <w:rFonts w:ascii="Times New Roman" w:cs="Times New Roman" w:eastAsia="Times New Roman" w:hAnsi="Times New Roman"/>
          <w:b w:val="false"/>
          <w:bCs w:val="false"/>
          <w:i w:val="false"/>
          <w:iCs w:val="false"/>
          <w:sz w:val="24"/>
          <w:szCs w:val="24"/>
        </w:rPr>
        <w:t xml:space="preserve">El desarrollo se organiza en cinco versiones sucesivas del modelo. Cada versión tiene un producto verificable y un criterio de aceptación, y no se pasa a la siguiente sin haberlo cumplido. La razón es práctica: un error de discretización arrastrado hasta la etapa de calibración se confunde con un error de propiedades y ya no se puede separar.</w:t>
      </w:r>
    </w:p>
    <w:p>
      <w:pPr>
        <w:spacing w:after="100" w:before="240"/>
        <w:jc w:val="left"/>
      </w:pPr>
      <w:r>
        <w:rPr>
          <w:rFonts w:ascii="Times New Roman" w:cs="Times New Roman" w:eastAsia="Times New Roman" w:hAnsi="Times New Roman"/>
          <w:b/>
          <w:bCs/>
          <w:sz w:val="24"/>
          <w:szCs w:val="24"/>
        </w:rPr>
        <w:t xml:space="preserve">5.1 Versión V0. Modelo estacionario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Objetivo: </w:t>
      </w:r>
      <w:r>
        <w:rPr>
          <w:rFonts w:ascii="Times New Roman" w:cs="Times New Roman" w:eastAsia="Times New Roman" w:hAnsi="Times New Roman"/>
          <w:sz w:val="24"/>
          <w:szCs w:val="24"/>
        </w:rPr>
        <w:t xml:space="preserve">obtener el perfil de temperatura de la olla llena en régimen permanente, que cumple tres funciones: caso de verificación del futuro código transitorio, generador de la condición inicial del enfriamiento, y detector temprano de propiedades erróneas.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Formulación: </w:t>
      </w:r>
      <w:r>
        <w:rPr>
          <w:rFonts w:ascii="Times New Roman" w:cs="Times New Roman" w:eastAsia="Times New Roman" w:hAnsi="Times New Roman"/>
          <w:sz w:val="24"/>
          <w:szCs w:val="24"/>
        </w:rPr>
        <w:t xml:space="preserve">solución analítica de la pared cilíndrica multicapa por analogía de resistencias en serie, con películas convectivas en ambas caras.</w:t>
      </w:r>
    </w:p>
    <w:p>
      <w:pPr>
        <w:spacing w:after="140" w:before="140"/>
        <w:jc w:val="center"/>
      </w:pPr>
      <w:r>
        <w:rPr>
          <w:rFonts w:ascii="Times New Roman" w:cs="Times New Roman" w:eastAsia="Times New Roman" w:hAnsi="Times New Roman"/>
          <w:i/>
          <w:iCs/>
          <w:sz w:val="24"/>
          <w:szCs w:val="24"/>
        </w:rPr>
        <w:t xml:space="preserve">q′ = (T_acero − T_∞) / [ 1/(2π·r₁·h_int) + Σᵢ ln(rᵢ₊₁/rᵢ)/(2π·kᵢ) + 1/(2π·r_ext·h_ext) ]</w:t>
      </w:r>
      <w:r>
        <w:rPr>
          <w:rFonts w:ascii="Times New Roman" w:cs="Times New Roman" w:eastAsia="Times New Roman" w:hAnsi="Times New Roman"/>
          <w:sz w:val="24"/>
          <w:szCs w:val="24"/>
        </w:rPr>
        <w:t xml:space="preserve">   (1)</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Entradas: </w:t>
      </w:r>
      <w:r>
        <w:rPr>
          <w:rFonts w:ascii="Times New Roman" w:cs="Times New Roman" w:eastAsia="Times New Roman" w:hAnsi="Times New Roman"/>
          <w:sz w:val="24"/>
          <w:szCs w:val="24"/>
        </w:rPr>
        <w:t xml:space="preserve">espesores, conductividades medias, radio interior, temperatura del acero, coeficiente baño-refractario, temperatura ambiente y coeficiente exterior.</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Salidas: </w:t>
      </w:r>
      <w:r>
        <w:rPr>
          <w:rFonts w:ascii="Times New Roman" w:cs="Times New Roman" w:eastAsia="Times New Roman" w:hAnsi="Times New Roman"/>
          <w:sz w:val="24"/>
          <w:szCs w:val="24"/>
        </w:rPr>
        <w:t xml:space="preserve">temperatura en cada interfaz, flujo lineal, flux en ambas caras y reparto porcentual de la caída de temperatura por capa.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Criterio de aceptación: </w:t>
      </w:r>
      <w:r>
        <w:rPr>
          <w:rFonts w:ascii="Times New Roman" w:cs="Times New Roman" w:eastAsia="Times New Roman" w:hAnsi="Times New Roman"/>
          <w:sz w:val="24"/>
          <w:szCs w:val="24"/>
        </w:rPr>
        <w:t xml:space="preserve">temperatura de coraza dentro de un rango físicamente plausible, entre 250 y 400 °C en pared, y coherencia con la temperatura máxima de servicio de cada capa.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Estado: </w:t>
      </w:r>
      <w:r>
        <w:rPr>
          <w:rFonts w:ascii="Times New Roman" w:cs="Times New Roman" w:eastAsia="Times New Roman" w:hAnsi="Times New Roman"/>
          <w:sz w:val="24"/>
          <w:szCs w:val="24"/>
        </w:rPr>
        <w:t xml:space="preserve">ya construido en hoja de cálculo. Con los espesores actuales y propiedades propuestas de literatura entrega: cara caliente 1552 °C, interfaces en 1421, 1304, 965 y 335 °C, cara fría 335 °C, flujo lineal 63 375 W/m y flux en la cara caliente de 7759 W/m².</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Duración: </w:t>
      </w:r>
      <w:r>
        <w:rPr>
          <w:rFonts w:ascii="Times New Roman" w:cs="Times New Roman" w:eastAsia="Times New Roman" w:hAnsi="Times New Roman"/>
          <w:sz w:val="24"/>
          <w:szCs w:val="24"/>
        </w:rPr>
        <w:t xml:space="preserve">concluida; queda pendiente recalcular con propiedades reales.</w:t>
      </w:r>
    </w:p>
    <w:p>
      <w:pPr>
        <w:spacing w:after="100" w:before="240"/>
        <w:jc w:val="left"/>
      </w:pPr>
      <w:r>
        <w:rPr>
          <w:rFonts w:ascii="Times New Roman" w:cs="Times New Roman" w:eastAsia="Times New Roman" w:hAnsi="Times New Roman"/>
          <w:b/>
          <w:bCs/>
          <w:sz w:val="24"/>
          <w:szCs w:val="24"/>
        </w:rPr>
        <w:t xml:space="preserve">5.2 Versión V1. Transitorio con espesor constante, etapa de enfriamiento</w:t>
      </w:r>
    </w:p>
    <w:p>
      <w:pPr>
        <w:spacing w:after="120" w:line="276"/>
        <w:jc w:val="both"/>
      </w:pPr>
      <w:r>
        <w:rPr>
          <w:rFonts w:ascii="Times New Roman" w:cs="Times New Roman" w:eastAsia="Times New Roman" w:hAnsi="Times New Roman"/>
          <w:b w:val="false"/>
          <w:bCs w:val="false"/>
          <w:i w:val="false"/>
          <w:iCs w:val="false"/>
          <w:sz w:val="24"/>
          <w:szCs w:val="24"/>
        </w:rPr>
        <w:t xml:space="preserve">Es el alcance acordado para la primera entrega del proyecto y el núcleo del trabajo.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Objetivo: </w:t>
      </w:r>
      <w:r>
        <w:rPr>
          <w:rFonts w:ascii="Times New Roman" w:cs="Times New Roman" w:eastAsia="Times New Roman" w:hAnsi="Times New Roman"/>
          <w:sz w:val="24"/>
          <w:szCs w:val="24"/>
        </w:rPr>
        <w:t xml:space="preserve">simular el enfriamiento de la olla vacía desde el fin de colado hasta el inicio del precalentamiento, y entregar el perfil que ingresa al precalentador en función del tiempo de espera.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Formulación: </w:t>
      </w:r>
      <w:r>
        <w:rPr>
          <w:rFonts w:ascii="Times New Roman" w:cs="Times New Roman" w:eastAsia="Times New Roman" w:hAnsi="Times New Roman"/>
          <w:sz w:val="24"/>
          <w:szCs w:val="24"/>
        </w:rPr>
        <w:t xml:space="preserve">conducción transitoria unidimensional en coordenadas cilíndricas con propiedades dependientes de la temperatura:</w:t>
      </w:r>
    </w:p>
    <w:p>
      <w:pPr>
        <w:spacing w:after="140" w:before="140"/>
        <w:jc w:val="center"/>
      </w:pPr>
      <w:r>
        <w:rPr>
          <w:rFonts w:ascii="Times New Roman" w:cs="Times New Roman" w:eastAsia="Times New Roman" w:hAnsi="Times New Roman"/>
          <w:i/>
          <w:iCs/>
          <w:sz w:val="24"/>
          <w:szCs w:val="24"/>
        </w:rPr>
        <w:t xml:space="preserve">ρ(T)·cp(T)·∂T/∂t = (1/r)·∂/∂r [ r·k(T)·∂T/∂r ]</w:t>
      </w:r>
      <w:r>
        <w:rPr>
          <w:rFonts w:ascii="Times New Roman" w:cs="Times New Roman" w:eastAsia="Times New Roman" w:hAnsi="Times New Roman"/>
          <w:sz w:val="24"/>
          <w:szCs w:val="24"/>
        </w:rPr>
        <w:t xml:space="preserve">   (2)</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Condición de frontera interior: </w:t>
      </w:r>
      <w:r>
        <w:rPr>
          <w:rFonts w:ascii="Times New Roman" w:cs="Times New Roman" w:eastAsia="Times New Roman" w:hAnsi="Times New Roman"/>
          <w:sz w:val="24"/>
          <w:szCs w:val="24"/>
        </w:rPr>
        <w:t xml:space="preserve">radiación hacia la cavidad más convección natural, con la radiación escrita explícitamente como diferencia de cuartas potencias y emisividad efectiva de cavidad.</w:t>
      </w:r>
    </w:p>
    <w:p>
      <w:pPr>
        <w:spacing w:after="140" w:before="140"/>
        <w:jc w:val="center"/>
      </w:pPr>
      <w:r>
        <w:rPr>
          <w:rFonts w:ascii="Times New Roman" w:cs="Times New Roman" w:eastAsia="Times New Roman" w:hAnsi="Times New Roman"/>
          <w:i/>
          <w:iCs/>
          <w:sz w:val="24"/>
          <w:szCs w:val="24"/>
        </w:rPr>
        <w:t xml:space="preserve">−k·∂T/∂r|_cara = ε_ef·σ·(T_cara⁴ − T_∞⁴) + h_cav·(T_cara − T_∞)</w:t>
      </w:r>
      <w:r>
        <w:rPr>
          <w:rFonts w:ascii="Times New Roman" w:cs="Times New Roman" w:eastAsia="Times New Roman" w:hAnsi="Times New Roman"/>
          <w:sz w:val="24"/>
          <w:szCs w:val="24"/>
        </w:rPr>
        <w:t xml:space="preserve">   (3)</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Condición de frontera exterior: </w:t>
      </w:r>
      <w:r>
        <w:rPr>
          <w:rFonts w:ascii="Times New Roman" w:cs="Times New Roman" w:eastAsia="Times New Roman" w:hAnsi="Times New Roman"/>
          <w:sz w:val="24"/>
          <w:szCs w:val="24"/>
        </w:rPr>
        <w:t xml:space="preserve">convección natural más radiación desde la coraza, con el coeficiente convectivo obtenido de la correlación de Churchill y Chu (1975).</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Condición inicial: </w:t>
      </w:r>
      <w:r>
        <w:rPr>
          <w:rFonts w:ascii="Times New Roman" w:cs="Times New Roman" w:eastAsia="Times New Roman" w:hAnsi="Times New Roman"/>
          <w:sz w:val="24"/>
          <w:szCs w:val="24"/>
        </w:rPr>
        <w:t xml:space="preserve">el perfil estacionario de olla llena de la versión V0, declarado explícitamente como cota superior del perfil real al fin de colado.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Método numérico: </w:t>
      </w:r>
      <w:r>
        <w:rPr>
          <w:rFonts w:ascii="Times New Roman" w:cs="Times New Roman" w:eastAsia="Times New Roman" w:hAnsi="Times New Roman"/>
          <w:sz w:val="24"/>
          <w:szCs w:val="24"/>
        </w:rPr>
        <w:t xml:space="preserve">volumen finito con esquema implícito, media armónica de la conductividad en las caras entre capas, y solución del sistema tridiagonal por el algoritmo de Thomas.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Salidas: </w:t>
      </w:r>
      <w:r>
        <w:rPr>
          <w:rFonts w:ascii="Times New Roman" w:cs="Times New Roman" w:eastAsia="Times New Roman" w:hAnsi="Times New Roman"/>
          <w:sz w:val="24"/>
          <w:szCs w:val="24"/>
        </w:rPr>
        <w:t xml:space="preserve">familia de perfiles para tiempos de espera de 15, 30, 60, 120, 240 y 480 minutos; historia térmica de la cara caliente y de la coraza; energía remanente en el revestimiento.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Criterios de aceptación: </w:t>
      </w:r>
      <w:r>
        <w:rPr>
          <w:rFonts w:ascii="Times New Roman" w:cs="Times New Roman" w:eastAsia="Times New Roman" w:hAnsi="Times New Roman"/>
          <w:sz w:val="24"/>
          <w:szCs w:val="24"/>
        </w:rPr>
        <w:t xml:space="preserve">las cuatro verificaciones del apartado 7.4, más la reproducción cualitativa del máximo interior de temperatura.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Duración estimada: </w:t>
      </w:r>
      <w:r>
        <w:rPr>
          <w:rFonts w:ascii="Times New Roman" w:cs="Times New Roman" w:eastAsia="Times New Roman" w:hAnsi="Times New Roman"/>
          <w:sz w:val="24"/>
          <w:szCs w:val="24"/>
        </w:rPr>
        <w:t xml:space="preserve">de dos a tres semanas de trabajo efectivo.</w:t>
      </w:r>
    </w:p>
    <w:p>
      <w:pPr>
        <w:spacing w:after="100" w:before="240"/>
        <w:jc w:val="left"/>
      </w:pPr>
      <w:r>
        <w:rPr>
          <w:rFonts w:ascii="Times New Roman" w:cs="Times New Roman" w:eastAsia="Times New Roman" w:hAnsi="Times New Roman"/>
          <w:b/>
          <w:bCs/>
          <w:sz w:val="24"/>
          <w:szCs w:val="24"/>
        </w:rPr>
        <w:t xml:space="preserve">5.3 Versión V2. Extensión al precalentamiento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Objetivo: </w:t>
      </w:r>
      <w:r>
        <w:rPr>
          <w:rFonts w:ascii="Times New Roman" w:cs="Times New Roman" w:eastAsia="Times New Roman" w:hAnsi="Times New Roman"/>
          <w:sz w:val="24"/>
          <w:szCs w:val="24"/>
        </w:rPr>
        <w:t xml:space="preserve">producir el entregable operativo del proyecto: el tiempo mínimo de precalentamiento en función del estado térmico con el que la olla llega al precalentador.</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Qué se agrega: </w:t>
      </w:r>
      <w:r>
        <w:rPr>
          <w:rFonts w:ascii="Times New Roman" w:cs="Times New Roman" w:eastAsia="Times New Roman" w:hAnsi="Times New Roman"/>
          <w:sz w:val="24"/>
          <w:szCs w:val="24"/>
        </w:rPr>
        <w:t xml:space="preserve">una segunda etapa con su propia condición de frontera en la cara caliente, compuesta por un término radiativo desde la llama y las paredes del recinto y uno convectivo desde los gases, siguiendo el planteamiento de Glaser, Görnerup y Sichen (2011). El perfil final de V1 es el perfil inicial de V2.</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Barrido propuesto: </w:t>
      </w:r>
      <w:r>
        <w:rPr>
          <w:rFonts w:ascii="Times New Roman" w:cs="Times New Roman" w:eastAsia="Times New Roman" w:hAnsi="Times New Roman"/>
          <w:sz w:val="24"/>
          <w:szCs w:val="24"/>
        </w:rPr>
        <w:t xml:space="preserve">para cada perfil generado en V1, simular el precalentamiento y registrar el instante en que se cumple el criterio de aceptación térmica.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Criterio de olla precalentada: </w:t>
      </w:r>
      <w:r>
        <w:rPr>
          <w:rFonts w:ascii="Times New Roman" w:cs="Times New Roman" w:eastAsia="Times New Roman" w:hAnsi="Times New Roman"/>
          <w:sz w:val="24"/>
          <w:szCs w:val="24"/>
        </w:rPr>
        <w:t xml:space="preserve">se propone un criterio doble en lugar del criterio simple de 1100 °C en la cara caliente: temperatura de cara caliente por encima de 1100 °C, y temperatura en la interfaz entre la capa de trabajo y la capa de seguridad por encima de un umbral a determinar con los propios resultados. El primero es medible en planta; el segundo es la aportación del modelo. Adicionalmente, la velocidad de calentamiento no debe exceder la rampa máxima admisible deducida del criterio de choque térmico.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Salidas: </w:t>
      </w:r>
      <w:r>
        <w:rPr>
          <w:rFonts w:ascii="Times New Roman" w:cs="Times New Roman" w:eastAsia="Times New Roman" w:hAnsi="Times New Roman"/>
          <w:sz w:val="24"/>
          <w:szCs w:val="24"/>
        </w:rPr>
        <w:t xml:space="preserve">curva de tiempo de precalentamiento requerido contra temperatura de cara caliente medida al ingreso, que es la variable que el operador conoce.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Duración estimada: </w:t>
      </w:r>
      <w:r>
        <w:rPr>
          <w:rFonts w:ascii="Times New Roman" w:cs="Times New Roman" w:eastAsia="Times New Roman" w:hAnsi="Times New Roman"/>
          <w:sz w:val="24"/>
          <w:szCs w:val="24"/>
        </w:rPr>
        <w:t xml:space="preserve">de una a dos semanas, condicionada a disponer de los datos del quemador.</w:t>
      </w:r>
    </w:p>
    <w:p>
      <w:pPr>
        <w:spacing w:after="100" w:before="240"/>
        <w:jc w:val="left"/>
      </w:pPr>
      <w:r>
        <w:rPr>
          <w:rFonts w:ascii="Times New Roman" w:cs="Times New Roman" w:eastAsia="Times New Roman" w:hAnsi="Times New Roman"/>
          <w:b/>
          <w:bCs/>
          <w:sz w:val="24"/>
          <w:szCs w:val="24"/>
        </w:rPr>
        <w:t xml:space="preserve">5.4 Versión V3. Ciclo completo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Objetivo: </w:t>
      </w:r>
      <w:r>
        <w:rPr>
          <w:rFonts w:ascii="Times New Roman" w:cs="Times New Roman" w:eastAsia="Times New Roman" w:hAnsi="Times New Roman"/>
          <w:sz w:val="24"/>
          <w:szCs w:val="24"/>
        </w:rPr>
        <w:t xml:space="preserve">eliminar la dependencia de una condición inicial supuesta, simulando el ciclo entero y repitiéndolo hasta alcanzar el estado estacionario periódico.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Qué se agrega: </w:t>
      </w:r>
      <w:r>
        <w:rPr>
          <w:rFonts w:ascii="Times New Roman" w:cs="Times New Roman" w:eastAsia="Times New Roman" w:hAnsi="Times New Roman"/>
          <w:sz w:val="24"/>
          <w:szCs w:val="24"/>
        </w:rPr>
        <w:t xml:space="preserve">las etapas con acero dentro de la olla: llenado, transporte, tratamiento y colada continua. La cara caliente pasa a tener una condición convectiva desde el baño, y durante la colada la condición cambia de baño a aire en el instante en que el nivel desciende por debajo de la altura modelada.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Criterio de convergencia: </w:t>
      </w:r>
      <w:r>
        <w:rPr>
          <w:rFonts w:ascii="Times New Roman" w:cs="Times New Roman" w:eastAsia="Times New Roman" w:hAnsi="Times New Roman"/>
          <w:sz w:val="24"/>
          <w:szCs w:val="24"/>
        </w:rPr>
        <w:t xml:space="preserve">la diferencia máxima entre nodos, comparando el inicio de dos ciclos consecutivos, menor a 5 °C. Se alcanza típicamente entre el quinto y el decimoquinto ciclo.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Valor que aporta: </w:t>
      </w:r>
      <w:r>
        <w:rPr>
          <w:rFonts w:ascii="Times New Roman" w:cs="Times New Roman" w:eastAsia="Times New Roman" w:hAnsi="Times New Roman"/>
          <w:sz w:val="24"/>
          <w:szCs w:val="24"/>
        </w:rPr>
        <w:t xml:space="preserve">sustituye el estacionario de olla llena por el perfil real al fin de colado, que es más frío, y permite comparar prácticas operativas completas.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Duración estimada: </w:t>
      </w:r>
      <w:r>
        <w:rPr>
          <w:rFonts w:ascii="Times New Roman" w:cs="Times New Roman" w:eastAsia="Times New Roman" w:hAnsi="Times New Roman"/>
          <w:sz w:val="24"/>
          <w:szCs w:val="24"/>
        </w:rPr>
        <w:t xml:space="preserve">una semana, apoyada en la arquitectura de Mäkelä, Visuri y Fabritius (2023).</w:t>
      </w:r>
    </w:p>
    <w:p>
      <w:pPr>
        <w:spacing w:after="100" w:before="240"/>
        <w:jc w:val="left"/>
      </w:pPr>
      <w:r>
        <w:rPr>
          <w:rFonts w:ascii="Times New Roman" w:cs="Times New Roman" w:eastAsia="Times New Roman" w:hAnsi="Times New Roman"/>
          <w:b/>
          <w:bCs/>
          <w:sz w:val="24"/>
          <w:szCs w:val="24"/>
        </w:rPr>
        <w:t xml:space="preserve">5.5 Versión V4. Transitorio con espesor variable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Objetivo: </w:t>
      </w:r>
      <w:r>
        <w:rPr>
          <w:rFonts w:ascii="Times New Roman" w:cs="Times New Roman" w:eastAsia="Times New Roman" w:hAnsi="Times New Roman"/>
          <w:sz w:val="24"/>
          <w:szCs w:val="24"/>
        </w:rPr>
        <w:t xml:space="preserve">representar la pérdida de espesor de la capa de trabajo con el número de coladas y evaluar su efecto sobre el tiempo de precalentamiento requerido.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Formulación: </w:t>
      </w:r>
      <w:r>
        <w:rPr>
          <w:rFonts w:ascii="Times New Roman" w:cs="Times New Roman" w:eastAsia="Times New Roman" w:hAnsi="Times New Roman"/>
          <w:sz w:val="24"/>
          <w:szCs w:val="24"/>
        </w:rPr>
        <w:t xml:space="preserve">el espesor de la capa de trabajo se expresa como función del número de colada, e₁(n), y la malla se regenera para cada n. Volkova y Janke (2003) muestran cómo introducir el desgaste en un modelo de este tipo.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Efecto esperado: </w:t>
      </w:r>
      <w:r>
        <w:rPr>
          <w:rFonts w:ascii="Times New Roman" w:cs="Times New Roman" w:eastAsia="Times New Roman" w:hAnsi="Times New Roman"/>
          <w:sz w:val="24"/>
          <w:szCs w:val="24"/>
        </w:rPr>
        <w:t xml:space="preserve">doble y en el mismo sentido: menor masa refractaria implica menor inercia, y menor espesor implica menor resistencia. La olla desgastada se enfría más rápido, su coraza está más caliente y requiere un precalentamiento distinto al de una olla nueva.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Salidas: </w:t>
      </w:r>
      <w:r>
        <w:rPr>
          <w:rFonts w:ascii="Times New Roman" w:cs="Times New Roman" w:eastAsia="Times New Roman" w:hAnsi="Times New Roman"/>
          <w:sz w:val="24"/>
          <w:szCs w:val="24"/>
        </w:rPr>
        <w:t xml:space="preserve">familia de curvas de tiempo mínimo de precalentamiento parametrizadas por el número de coladas.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Requisito de datos: </w:t>
      </w:r>
      <w:r>
        <w:rPr>
          <w:rFonts w:ascii="Times New Roman" w:cs="Times New Roman" w:eastAsia="Times New Roman" w:hAnsi="Times New Roman"/>
          <w:sz w:val="24"/>
          <w:szCs w:val="24"/>
        </w:rPr>
        <w:t xml:space="preserve">mediciones de espesor residual contra número de coladas, por escaneo láser o medición manual en paro.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Duración estimada: </w:t>
      </w:r>
      <w:r>
        <w:rPr>
          <w:rFonts w:ascii="Times New Roman" w:cs="Times New Roman" w:eastAsia="Times New Roman" w:hAnsi="Times New Roman"/>
          <w:sz w:val="24"/>
          <w:szCs w:val="24"/>
        </w:rPr>
        <w:t xml:space="preserve">una semana una vez validada V2, más el tiempo de conseguir los datos de desgaste.</w:t>
      </w:r>
    </w:p>
    <w:p>
      <w:pPr>
        <w:spacing w:after="100" w:before="240"/>
        <w:jc w:val="left"/>
      </w:pPr>
      <w:r>
        <w:rPr>
          <w:rFonts w:ascii="Times New Roman" w:cs="Times New Roman" w:eastAsia="Times New Roman" w:hAnsi="Times New Roman"/>
          <w:b/>
          <w:bCs/>
          <w:sz w:val="24"/>
          <w:szCs w:val="24"/>
        </w:rPr>
        <w:t xml:space="preserve">5.6 Resumen de versiones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tcW w:type="pct" w:w="1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Versión</w:t>
            </w:r>
          </w:p>
        </w:tc>
        <w:tc>
          <w:tcPr>
            <w:tcW w:type="pct" w:w="3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Qué resuelve</w:t>
            </w:r>
          </w:p>
        </w:tc>
        <w:tc>
          <w:tcPr>
            <w:tcW w:type="pct" w:w="15%"/>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Herramienta</w:t>
            </w:r>
          </w:p>
        </w:tc>
        <w:tc>
          <w:tcPr>
            <w:tcW w:type="pct" w:w="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Producto</w:t>
            </w:r>
          </w:p>
        </w:tc>
        <w:tc>
          <w:tcPr>
            <w:tcW w:type="pct" w:w="15%"/>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Duración</w:t>
            </w:r>
          </w:p>
        </w:tc>
      </w:tr>
      <w:tr>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V0</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Estacionario multicapa, olla llena</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Hoja de cálculo</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Perfil de referencia y condición inicial</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Concluida</w:t>
            </w:r>
          </w:p>
        </w:tc>
      </w:tr>
      <w:tr>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V1</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Transitorio, etapa de enfriamiento, espesor constante</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Python</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Perfil al ingreso del precalentador</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 a 3 semanas</w:t>
            </w:r>
          </w:p>
        </w:tc>
      </w:tr>
      <w:tr>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V2</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Transitorio, etapa de precalentamiento</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Python</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Tiempo mínimo de precalentamiento</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a 2 semanas</w:t>
            </w:r>
          </w:p>
        </w:tc>
      </w:tr>
      <w:tr>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V3</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Ciclo completo hasta estado periódico</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Python</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Condición inicial real; comparación de prácticas</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semana</w:t>
            </w:r>
          </w:p>
        </w:tc>
      </w:tr>
      <w:tr>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V4</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variable con el número de coladas</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Python</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Curvas por número de colada</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semana</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6. INFORMACIÓN NECESARIA</w:t>
      </w:r>
    </w:p>
    <w:p>
      <w:pPr>
        <w:spacing w:after="120" w:line="276"/>
        <w:jc w:val="both"/>
      </w:pPr>
      <w:r>
        <w:rPr>
          <w:rFonts w:ascii="Times New Roman" w:cs="Times New Roman" w:eastAsia="Times New Roman" w:hAnsi="Times New Roman"/>
          <w:b w:val="false"/>
          <w:bCs w:val="false"/>
          <w:i w:val="false"/>
          <w:iCs w:val="false"/>
          <w:sz w:val="24"/>
          <w:szCs w:val="24"/>
        </w:rPr>
        <w:t xml:space="preserve">Se distingue entre la información necesaria para construir el modelo, que permite escribir y verificar el código, y la necesaria para ejecutarlo con sentido físico, que es la que convierte un programa en una herramienta de ingeniería. El proyecto puede arrancar hoy con la primera; la segunda condiciona la fecha en que habrá resultados defendibles.</w:t>
      </w:r>
    </w:p>
    <w:p>
      <w:pPr>
        <w:spacing w:after="100" w:before="240"/>
        <w:jc w:val="left"/>
      </w:pPr>
      <w:r>
        <w:rPr>
          <w:rFonts w:ascii="Times New Roman" w:cs="Times New Roman" w:eastAsia="Times New Roman" w:hAnsi="Times New Roman"/>
          <w:b/>
          <w:bCs/>
          <w:sz w:val="24"/>
          <w:szCs w:val="24"/>
        </w:rPr>
        <w:t xml:space="preserve">6.1 Geometría del revestimiento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Dato</w:t>
            </w:r>
          </w:p>
        </w:tc>
        <w:tc>
          <w:tcPr>
            <w:tcW w:type="pct" w:w="1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Símbolo</w:t>
            </w:r>
          </w:p>
        </w:tc>
        <w:tc>
          <w:tcPr>
            <w:tcW w:type="pct" w:w="1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Estado actual</w:t>
            </w:r>
          </w:p>
        </w:tc>
        <w:tc>
          <w:tcPr>
            <w:tcW w:type="pct" w:w="3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Observación</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de la capa de trabajo</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e₁ = 127 mm</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Capturado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Ladrillo en contacto con acero líquido</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de la capa de junta seca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e₂ = 12.5 mm</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Capturado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Elemento térmico de primer orden, no un detalle constructivo</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de la capa de seguridad</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e₃ = 76 mm</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Capturado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de la capa aislante</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e₄ = 13 mm</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Capturado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Aporta el 53 % de la resistencia térmica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de la coraza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e₅ = 1.5 mm</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POR VERIFICAR</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Valor atípico; lo habitual en olla es de 20 a 50 mm. Afecta poco al perfil pero mucho a la inercia</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Radio interior en la cara caliente</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r₁</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Necesario para la formulación cilíndrica; se está usando 1.30 m como valor provisional</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Altura de la zona modelada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H</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Solo para convertir el flujo por metro en potencia total y para el factor de forma de la cavidad</w:t>
            </w:r>
          </w:p>
        </w:tc>
      </w:tr>
      <w:tr>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nominal de junta de mampostería</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e_j</w:t>
            </w:r>
          </w:p>
        </w:tc>
        <w:tc>
          <w:tcPr>
            <w:tcW w:type="pct" w:w="1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Necesario solo para la estimación de apertura de juntas</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6.2 Propiedades termofísicas por capa</w:t>
      </w:r>
    </w:p>
    <w:p>
      <w:pPr>
        <w:spacing w:after="120" w:line="276"/>
        <w:jc w:val="both"/>
      </w:pPr>
      <w:r>
        <w:rPr>
          <w:rFonts w:ascii="Times New Roman" w:cs="Times New Roman" w:eastAsia="Times New Roman" w:hAnsi="Times New Roman"/>
          <w:b w:val="false"/>
          <w:bCs w:val="false"/>
          <w:i w:val="false"/>
          <w:iCs w:val="false"/>
          <w:sz w:val="24"/>
          <w:szCs w:val="24"/>
        </w:rPr>
        <w:t xml:space="preserve">Es la información que más tiempo toma conseguir y la que más determina el resultado. Ninguna de las cinco capas tiene hoy propiedades medidas; se está trabajando con rangos de literatura declarados como provisionales.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Propiedad</w:t>
            </w:r>
          </w:p>
        </w:tc>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Nivel mínimo aceptable</w:t>
            </w:r>
          </w:p>
        </w:tc>
        <w:tc>
          <w:tcPr>
            <w:tcW w:type="pct" w:w="1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Prioridad</w:t>
            </w:r>
          </w:p>
        </w:tc>
        <w:tc>
          <w:tcPr>
            <w:tcW w:type="pct" w:w="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Cómo conseguirla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Conductividad térmica k(T)</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Tres puntos: 400, 800 y 1200 °C. Si solo hay uno, registrar a qué temperatura</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Máxima para aislante y junta seca</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Ficha técnica del proveedor; ensayo bajo ASTM C1113/C1113M por alambre caliente</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Densidad aparente ρ</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 valor por capa</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Alta para la capa de trabajo, que almacena el 63 % de la energía</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Ficha técnica; ensayo bajo ASTM C20</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Calor específico cp(T)</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 valor medio por capa; idealmente dos o tres puntos</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Alta</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Ficha técnica; ASTM E1269 por calorimetría diferencial de barrido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Porosidad aparente</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Deseable</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Media</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ASTM C20; permite estimar k por correlación si falta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 de la cara caliente ε_int</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 valor; el rango de refractarios es 0.70 a 0.90</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Alta: gobierna el enfriamiento</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Literatura; termografía comparativa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 de la coraza ε_ext</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 valor</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Media</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Termografía; cambia entre acero pintado y oxidado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Denominación y calidad de cada material</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Nombre comercial y familia</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Máxima</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Área de refractarios o de compras</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de expansión térmica α_t, E, ν y módulo de ruptura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Solo para el criterio de choque térmico y juntas</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Baja en V1; media en V2</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Solicitud expresa al proveedor</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Dos capas concentran el riesgo. El aislante de 13 mm produce el 53 % de la caída total de temperatura y su conductividad es fuertemente dependiente de la temperatura y de la densidad. La junta seca de 12.5 mm frena tanto como los 127 mm de capa de trabajo y no existe ficha técnica de un relleno granular suelto: su conductividad depende del grado de compactación y del tamaño de grano, de modo que probablemente haya que tratarla como parámetro de calibración y declararlo así.</w:t>
      </w:r>
    </w:p>
    <w:p>
      <w:pPr>
        <w:spacing w:after="100" w:before="240"/>
        <w:jc w:val="left"/>
      </w:pPr>
      <w:r>
        <w:rPr>
          <w:rFonts w:ascii="Times New Roman" w:cs="Times New Roman" w:eastAsia="Times New Roman" w:hAnsi="Times New Roman"/>
          <w:b/>
          <w:bCs/>
          <w:sz w:val="24"/>
          <w:szCs w:val="24"/>
        </w:rPr>
        <w:t xml:space="preserve">6.3 Información de proceso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Dato</w:t>
            </w:r>
          </w:p>
        </w:tc>
        <w:tc>
          <w:tcPr>
            <w:tcW w:type="pct" w:w="2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Estado</w:t>
            </w:r>
          </w:p>
        </w:tc>
        <w:tc>
          <w:tcPr>
            <w:tcW w:type="pct" w:w="4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Por qué importa</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del enfriamiento entre fin de colado e inicio de precalentamiento, con su dispersión mínima, media y máxima</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 — dato crítico</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 la variable que determina el estado térmico con el que la olla llega al precalentador y, por lo tanto, todo el entregable</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 la olla permanece tapada durante la espera</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Cambia la emisividad efectiva de la cavidad y con ella la velocidad de enfriamiento</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del acero al final del colado</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Probablemente disponible en registro</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Genera la condición inicial mediante el estacionario de olla llena</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 queda costra o escoria adherida tras el vaciado</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Actúa como capa adicional y altera la lectura del pirómetro</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Número de coladas por olla y por día; ollas en rotación</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Contexto para el estado estacionario periódico de la versión V3</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Frecuencia y duración de paros que dejan enfriar la olla por completo</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Son los casos extremos, y son los que causan los problemas</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Potencia, temperatura de gases y curva de rampa del precalentador</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4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Necesarios para la versión V2; no bloquean V1</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6.4 Condiciones de frontera y del entorno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Temperatura ambiente de la nave: </w:t>
      </w:r>
      <w:r>
        <w:rPr>
          <w:rFonts w:ascii="Times New Roman" w:cs="Times New Roman" w:eastAsia="Times New Roman" w:hAnsi="Times New Roman"/>
          <w:sz w:val="24"/>
          <w:szCs w:val="24"/>
        </w:rPr>
        <w:t xml:space="preserve">medición directa; distinguir estación del año si la diferencia es apreciable.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Coeficiente exterior: </w:t>
      </w:r>
      <w:r>
        <w:rPr>
          <w:rFonts w:ascii="Times New Roman" w:cs="Times New Roman" w:eastAsia="Times New Roman" w:hAnsi="Times New Roman"/>
          <w:sz w:val="24"/>
          <w:szCs w:val="24"/>
        </w:rPr>
        <w:t xml:space="preserve">no es un dato a conseguir sino a calcular con la correlación de Churchill y Chu (1975) más el término radiativo. Es implícito, porque depende de la temperatura de coraza que el propio modelo produce, y obliga a iterar. En el caso de referencia converge a unos 22 W/(m²·K), de los cuales cerca del 70 % es radiación.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Fracción de área de boca: </w:t>
      </w:r>
      <w:r>
        <w:rPr>
          <w:rFonts w:ascii="Times New Roman" w:cs="Times New Roman" w:eastAsia="Times New Roman" w:hAnsi="Times New Roman"/>
          <w:sz w:val="24"/>
          <w:szCs w:val="24"/>
        </w:rPr>
        <w:t xml:space="preserve">se calcula de la geometría como F = r/(2H + r); con r = 1.30 m y H = 3.0 m resulta 0.18. Determina la emisividad efectiva de la cavidad.</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Coeficiente baño-refractario: </w:t>
      </w:r>
      <w:r>
        <w:rPr>
          <w:rFonts w:ascii="Times New Roman" w:cs="Times New Roman" w:eastAsia="Times New Roman" w:hAnsi="Times New Roman"/>
          <w:sz w:val="24"/>
          <w:szCs w:val="24"/>
        </w:rPr>
        <w:t xml:space="preserve">solo interviene para generar la condición inicial; se puede tomar de la revisión de Fredman (2000a) y tratarlo como parámetro poco sensible.</w:t>
      </w:r>
    </w:p>
    <w:p>
      <w:pPr>
        <w:spacing w:after="100" w:before="240"/>
        <w:jc w:val="left"/>
      </w:pPr>
      <w:r>
        <w:rPr>
          <w:rFonts w:ascii="Times New Roman" w:cs="Times New Roman" w:eastAsia="Times New Roman" w:hAnsi="Times New Roman"/>
          <w:b/>
          <w:bCs/>
          <w:sz w:val="24"/>
          <w:szCs w:val="24"/>
        </w:rPr>
        <w:t xml:space="preserve">6.5 Mediciones para la validación</w:t>
      </w:r>
    </w:p>
    <w:p>
      <w:pPr>
        <w:spacing w:after="120" w:line="276"/>
        <w:jc w:val="both"/>
      </w:pPr>
      <w:r>
        <w:rPr>
          <w:rFonts w:ascii="Times New Roman" w:cs="Times New Roman" w:eastAsia="Times New Roman" w:hAnsi="Times New Roman"/>
          <w:b w:val="false"/>
          <w:bCs w:val="false"/>
          <w:i w:val="false"/>
          <w:iCs w:val="false"/>
          <w:sz w:val="24"/>
          <w:szCs w:val="24"/>
        </w:rPr>
        <w:t xml:space="preserve">Sin al menos una colada instrumentada el modelo queda como ejercicio de cálculo. El plan mínimo es el siguiente:</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Medición</w:t>
            </w:r>
          </w:p>
        </w:tc>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Instrumento</w:t>
            </w:r>
          </w:p>
        </w:tc>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Momento</w:t>
            </w:r>
          </w:p>
        </w:tc>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Para qué</w:t>
            </w:r>
          </w:p>
        </w:tc>
      </w:tr>
      <w:tr>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 coraza en dos alturas</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Termografía o termopar de contacto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 fin de colado, y a los 15, 30, 60 y 120 minutos</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Variable principal de validación; es la salida del modelo más fácil de medir</w:t>
            </w:r>
          </w:p>
        </w:tc>
      </w:tr>
      <w:tr>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 cara caliente</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Pirómetro óptico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Apenas se vacía la olla y a los mismos intervalos</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Valida directamente la condición de frontera de cavidad</w:t>
            </w:r>
          </w:p>
        </w:tc>
      </w:tr>
      <w:tr>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del acero al fin de colado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Registro de proceso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Fin de colado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Genera la condición inicial</w:t>
            </w:r>
          </w:p>
        </w:tc>
      </w:tr>
      <w:tr>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Tiempos reales de la olla instrumentada</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Registro cronometrado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Toda la ventana</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Sin esto ninguna comparación es concluyente</w:t>
            </w:r>
          </w:p>
        </w:tc>
      </w:tr>
      <w:tr>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ambiente de nave</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Termómetro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Durante la medición</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Frontera exterior</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Una sola colada instrumentada con cinco puntos en el tiempo es suficiente para validar la versión V1. La medición simultánea de cara caliente y coraza es especialmente valiosa porque cada una prueba una frontera distinta del modelo.</w:t>
      </w:r>
    </w:p>
    <w:p>
      <w:pPr>
        <w:spacing w:after="100" w:before="240"/>
        <w:jc w:val="left"/>
      </w:pPr>
      <w:r>
        <w:rPr>
          <w:rFonts w:ascii="Times New Roman" w:cs="Times New Roman" w:eastAsia="Times New Roman" w:hAnsi="Times New Roman"/>
          <w:b/>
          <w:bCs/>
          <w:sz w:val="24"/>
          <w:szCs w:val="24"/>
        </w:rPr>
        <w:t xml:space="preserve">6.6 Semáforo de disponibilidad de datos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4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Bloque de información</w:t>
            </w:r>
          </w:p>
        </w:tc>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Estado</w:t>
            </w:r>
          </w:p>
        </w:tc>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Bloquea a</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Espesores de las cinco capas</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Disponible, con la coraza por verificar</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Nada</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Radio interior y altura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 se usa valor provisional</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Precisión de V0 y V1, no su construcción</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Propiedades de las cinco capas</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 valores de literatura provisionales</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credibilidad de todo resultado numérico</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del enfriamiento y su dispersión</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entregable de V1</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del acero al fin de colado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Probablemente disponible</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condición inicial</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Mediciones de validación</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 requiere plan de instrumentación</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validación, no la construcción</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Datos del quemador</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versión V2</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residual contra número de coladas</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Falta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versión V4</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Conclusión operativa: la construcción del modelo puede comenzar de inmediato con valores provisionales, porque la estructura del código no depende de los números. Lo que sí depende de los datos es la fecha en que habrá un resultado defendible. Por eso se recomienda lanzar en paralelo la solicitud de fichas técnicas al proveedor y el levantamiento de tiempos de proceso, sin esperar a tenerlos para empezar a programar.</w:t>
      </w:r>
    </w:p>
    <w:p>
      <w:pPr>
        <w:pageBreakBefore/>
        <w:spacing w:after="200" w:before="400"/>
        <w:jc w:val="center"/>
      </w:pPr>
      <w:r>
        <w:rPr>
          <w:rFonts w:ascii="Times New Roman" w:cs="Times New Roman" w:eastAsia="Times New Roman" w:hAnsi="Times New Roman"/>
          <w:b/>
          <w:bCs/>
          <w:sz w:val="24"/>
          <w:szCs w:val="24"/>
          <w:u w:val="single"/>
        </w:rPr>
        <w:t xml:space="preserve">7. DESARROLLO TEÓRICO PROPUESTO</w:t>
      </w:r>
    </w:p>
    <w:p>
      <w:pPr>
        <w:spacing w:after="100" w:before="240"/>
        <w:jc w:val="left"/>
      </w:pPr>
      <w:r>
        <w:rPr>
          <w:rFonts w:ascii="Times New Roman" w:cs="Times New Roman" w:eastAsia="Times New Roman" w:hAnsi="Times New Roman"/>
          <w:b/>
          <w:bCs/>
          <w:sz w:val="24"/>
          <w:szCs w:val="24"/>
        </w:rPr>
        <w:t xml:space="preserve">7.1 Formulación del problema</w:t>
      </w:r>
    </w:p>
    <w:p>
      <w:pPr>
        <w:spacing w:after="120" w:line="276"/>
        <w:jc w:val="both"/>
      </w:pPr>
      <w:r>
        <w:rPr>
          <w:rFonts w:ascii="Times New Roman" w:cs="Times New Roman" w:eastAsia="Times New Roman" w:hAnsi="Times New Roman"/>
          <w:b w:val="false"/>
          <w:bCs w:val="false"/>
          <w:i w:val="false"/>
          <w:iCs w:val="false"/>
          <w:sz w:val="24"/>
          <w:szCs w:val="24"/>
        </w:rPr>
        <w:t xml:space="preserve">El problema queda determinado por una ecuación diferencial, una condición inicial y dos condiciones de frontera. La ecuación de gobierno es la conducción transitoria unidimensional en coordenadas cilíndricas, sin generación interna y con propiedades dependientes de la temperatura:</w:t>
      </w:r>
    </w:p>
    <w:p>
      <w:pPr>
        <w:spacing w:after="140" w:before="140"/>
        <w:jc w:val="center"/>
      </w:pPr>
      <w:r>
        <w:rPr>
          <w:rFonts w:ascii="Times New Roman" w:cs="Times New Roman" w:eastAsia="Times New Roman" w:hAnsi="Times New Roman"/>
          <w:i/>
          <w:iCs/>
          <w:sz w:val="24"/>
          <w:szCs w:val="24"/>
        </w:rPr>
        <w:t xml:space="preserve">ρ(T)·cp(T)·∂T/∂t = (1/r)·∂/∂r [ r·k(T)·∂T/∂r ]</w:t>
      </w:r>
      <w:r>
        <w:rPr>
          <w:rFonts w:ascii="Times New Roman" w:cs="Times New Roman" w:eastAsia="Times New Roman" w:hAnsi="Times New Roman"/>
          <w:sz w:val="24"/>
          <w:szCs w:val="24"/>
        </w:rPr>
        <w:t xml:space="preserve">   (4)</w:t>
      </w:r>
    </w:p>
    <w:p>
      <w:pPr>
        <w:spacing w:after="120" w:line="276"/>
        <w:jc w:val="both"/>
      </w:pPr>
      <w:r>
        <w:rPr>
          <w:rFonts w:ascii="Times New Roman" w:cs="Times New Roman" w:eastAsia="Times New Roman" w:hAnsi="Times New Roman"/>
          <w:b w:val="false"/>
          <w:bCs w:val="false"/>
          <w:i w:val="false"/>
          <w:iCs w:val="false"/>
          <w:sz w:val="24"/>
          <w:szCs w:val="24"/>
        </w:rPr>
        <w:t xml:space="preserve">El factor 1/r y la r dentro del corchete expresan que el mismo flujo total se reparte sobre un área que crece con el radio. Con e/r₁ = 0.18 en este caso, ignorarlos subestimaría el flux en la cara caliente alrededor de un 13 %.</w:t>
      </w:r>
    </w:p>
    <w:p>
      <w:pPr>
        <w:spacing w:after="80" w:before="180"/>
        <w:jc w:val="left"/>
      </w:pPr>
      <w:r>
        <w:rPr>
          <w:rFonts w:ascii="Times New Roman" w:cs="Times New Roman" w:eastAsia="Times New Roman" w:hAnsi="Times New Roman"/>
          <w:b/>
          <w:bCs/>
          <w:i/>
          <w:iCs/>
          <w:sz w:val="24"/>
          <w:szCs w:val="24"/>
        </w:rPr>
        <w:t xml:space="preserve">Condición de frontera en la cara caliente, olla vacía</w:t>
      </w:r>
    </w:p>
    <w:p>
      <w:pPr>
        <w:spacing w:after="140" w:before="140"/>
        <w:jc w:val="center"/>
      </w:pPr>
      <w:r>
        <w:rPr>
          <w:rFonts w:ascii="Times New Roman" w:cs="Times New Roman" w:eastAsia="Times New Roman" w:hAnsi="Times New Roman"/>
          <w:i/>
          <w:iCs/>
          <w:sz w:val="24"/>
          <w:szCs w:val="24"/>
        </w:rPr>
        <w:t xml:space="preserve">−k·∂T/∂r|_(r=r₁) = ε_ef·σ·(T_s⁴ − T_∞⁴) + h_cav·(T_s − T_∞),   con ε_ef ≈ F = r/(2H + r)</w:t>
      </w:r>
      <w:r>
        <w:rPr>
          <w:rFonts w:ascii="Times New Roman" w:cs="Times New Roman" w:eastAsia="Times New Roman" w:hAnsi="Times New Roman"/>
          <w:sz w:val="24"/>
          <w:szCs w:val="24"/>
        </w:rPr>
        <w:t xml:space="preserve">   (5)</w:t>
      </w:r>
    </w:p>
    <w:p>
      <w:pPr>
        <w:spacing w:after="120" w:line="276"/>
        <w:jc w:val="both"/>
      </w:pPr>
      <w:r>
        <w:rPr>
          <w:rFonts w:ascii="Times New Roman" w:cs="Times New Roman" w:eastAsia="Times New Roman" w:hAnsi="Times New Roman"/>
          <w:b w:val="false"/>
          <w:bCs w:val="false"/>
          <w:i w:val="false"/>
          <w:iCs w:val="false"/>
          <w:sz w:val="24"/>
          <w:szCs w:val="24"/>
        </w:rPr>
        <w:t xml:space="preserve">La forma de escribir este término es la decisión de modelado más importante de la etapa de enfriamiento. La radiación desde la cara caliente hacia el interior de la olla existe y es el mecanismo dominante, pero cada punto de la pared también recibe la radiación de los demás puntos, que están a temperatura parecida. El intercambio neto entre puntos de la pared es por lo tanto pequeño, y lo que realmente se pierde es la fracción que escapa por la boca. Para una cavidad isoterma y casi negra, esa pérdida por unidad de área interior equivale a usar una emisividad efectiva igual a F. Tratar la cara caliente como superficie desnuda con ε_int = 0.85 sobreestima el flux inicial en un factor cercano a cinco: 535 kW/m² frente a 112 kW/m² en el caso de referencia.</w:t>
      </w:r>
    </w:p>
    <w:p>
      <w:pPr>
        <w:spacing w:after="80" w:before="180"/>
        <w:jc w:val="left"/>
      </w:pPr>
      <w:r>
        <w:rPr>
          <w:rFonts w:ascii="Times New Roman" w:cs="Times New Roman" w:eastAsia="Times New Roman" w:hAnsi="Times New Roman"/>
          <w:b/>
          <w:bCs/>
          <w:i/>
          <w:iCs/>
          <w:sz w:val="24"/>
          <w:szCs w:val="24"/>
        </w:rPr>
        <w:t xml:space="preserve">Condición de frontera en la cara fría</w:t>
      </w:r>
    </w:p>
    <w:p>
      <w:pPr>
        <w:spacing w:after="140" w:before="140"/>
        <w:jc w:val="center"/>
      </w:pPr>
      <w:r>
        <w:rPr>
          <w:rFonts w:ascii="Times New Roman" w:cs="Times New Roman" w:eastAsia="Times New Roman" w:hAnsi="Times New Roman"/>
          <w:i/>
          <w:iCs/>
          <w:sz w:val="24"/>
          <w:szCs w:val="24"/>
        </w:rPr>
        <w:t xml:space="preserve">−k·∂T/∂r|_(r=r_ext) = h_conv·(T_s − T_∞) + ε_ext·σ·(T_s⁴ − T_alr⁴)</w:t>
      </w:r>
      <w:r>
        <w:rPr>
          <w:rFonts w:ascii="Times New Roman" w:cs="Times New Roman" w:eastAsia="Times New Roman" w:hAnsi="Times New Roman"/>
          <w:sz w:val="24"/>
          <w:szCs w:val="24"/>
        </w:rPr>
        <w:t xml:space="preserve">   (6)</w:t>
      </w:r>
    </w:p>
    <w:p>
      <w:pPr>
        <w:spacing w:after="120" w:line="276"/>
        <w:jc w:val="both"/>
      </w:pPr>
      <w:r>
        <w:rPr>
          <w:rFonts w:ascii="Times New Roman" w:cs="Times New Roman" w:eastAsia="Times New Roman" w:hAnsi="Times New Roman"/>
          <w:b w:val="false"/>
          <w:bCs w:val="false"/>
          <w:i w:val="false"/>
          <w:iCs w:val="false"/>
          <w:sz w:val="24"/>
          <w:szCs w:val="24"/>
        </w:rPr>
        <w:t xml:space="preserve">No debe suprimirse aunque el enfoque del proyecto sea el enfriamiento hacia el interior. Con la cara fría adiabática el problema estacionario deja de existir —todo el revestimiento quedaría a la temperatura del acero— y en el transitorio se sobreestimaría la energía remanente del revestimiento.</w:t>
      </w:r>
    </w:p>
    <w:p>
      <w:pPr>
        <w:spacing w:after="80" w:before="180"/>
        <w:jc w:val="left"/>
      </w:pPr>
      <w:r>
        <w:rPr>
          <w:rFonts w:ascii="Times New Roman" w:cs="Times New Roman" w:eastAsia="Times New Roman" w:hAnsi="Times New Roman"/>
          <w:b/>
          <w:bCs/>
          <w:i/>
          <w:iCs/>
          <w:sz w:val="24"/>
          <w:szCs w:val="24"/>
        </w:rPr>
        <w:t xml:space="preserve">Condición inicial</w:t>
      </w:r>
    </w:p>
    <w:p>
      <w:pPr>
        <w:spacing w:after="120" w:line="276"/>
        <w:jc w:val="both"/>
      </w:pPr>
      <w:r>
        <w:rPr>
          <w:rFonts w:ascii="Times New Roman" w:cs="Times New Roman" w:eastAsia="Times New Roman" w:hAnsi="Times New Roman"/>
          <w:b w:val="false"/>
          <w:bCs w:val="false"/>
          <w:i w:val="false"/>
          <w:iCs w:val="false"/>
          <w:sz w:val="24"/>
          <w:szCs w:val="24"/>
        </w:rPr>
        <w:t xml:space="preserve">El perfil estacionario de olla llena de la versión V0, declarado explícitamente como cota superior. Durante la colada continua la olla no se acerca al estacionario: con la difusividad efectiva del revestimiento, 5.2 × 10⁻⁷ m²/s, el número de Fourier de una colada de 50 minutos es de 0.030, es decir, prácticamente cero.</w:t>
      </w:r>
    </w:p>
    <w:p>
      <w:pPr>
        <w:spacing w:after="100" w:before="240"/>
        <w:jc w:val="left"/>
      </w:pPr>
      <w:r>
        <w:rPr>
          <w:rFonts w:ascii="Times New Roman" w:cs="Times New Roman" w:eastAsia="Times New Roman" w:hAnsi="Times New Roman"/>
          <w:b/>
          <w:bCs/>
          <w:sz w:val="24"/>
          <w:szCs w:val="24"/>
        </w:rPr>
        <w:t xml:space="preserve">7.2 Discretización propuesta</w:t>
      </w:r>
    </w:p>
    <w:p>
      <w:pPr>
        <w:spacing w:after="120" w:line="276"/>
        <w:jc w:val="both"/>
      </w:pPr>
      <w:r>
        <w:rPr>
          <w:rFonts w:ascii="Times New Roman" w:cs="Times New Roman" w:eastAsia="Times New Roman" w:hAnsi="Times New Roman"/>
          <w:b w:val="false"/>
          <w:bCs w:val="false"/>
          <w:i w:val="false"/>
          <w:iCs w:val="false"/>
          <w:sz w:val="24"/>
          <w:szCs w:val="24"/>
        </w:rPr>
        <w:t xml:space="preserve">Se propone volumen finito con esquema implícito. El volumen finito integra la ecuación sobre cada rebanada de material en lugar de aproximar sus derivadas, de modo que la conservación de la energía queda garantizada por construcción incluso con mallas gruesas y con capas cuyas conductividades difieren en dos órdenes de magnitud, que es exactamente el caso. El esquema implícito es incondicionalmente estable y permite elegir el paso de tiempo por exactitud y no por estabilidad.</w:t>
      </w:r>
    </w:p>
    <w:p>
      <w:pPr>
        <w:spacing w:after="120" w:line="276"/>
        <w:jc w:val="both"/>
      </w:pPr>
      <w:r>
        <w:rPr>
          <w:rFonts w:ascii="Times New Roman" w:cs="Times New Roman" w:eastAsia="Times New Roman" w:hAnsi="Times New Roman"/>
          <w:b w:val="false"/>
          <w:bCs w:val="false"/>
          <w:i w:val="false"/>
          <w:iCs w:val="false"/>
          <w:sz w:val="24"/>
          <w:szCs w:val="24"/>
        </w:rPr>
        <w:t xml:space="preserve">Integrando sobre el volumen de control del nodo P, con caras en r_w y r_e y vecinos en r_W y r_E, la ecuación discretizada por unidad de altura resulta:</w:t>
      </w:r>
    </w:p>
    <w:p>
      <w:pPr>
        <w:spacing w:after="140" w:before="140"/>
        <w:jc w:val="center"/>
      </w:pPr>
      <w:r>
        <w:rPr>
          <w:rFonts w:ascii="Times New Roman" w:cs="Times New Roman" w:eastAsia="Times New Roman" w:hAnsi="Times New Roman"/>
          <w:i/>
          <w:iCs/>
          <w:sz w:val="24"/>
          <w:szCs w:val="24"/>
        </w:rPr>
        <w:t xml:space="preserve">a_P·T_P = a_W·T_W + a_E·T_E + b</w:t>
      </w:r>
      <w:r>
        <w:rPr>
          <w:rFonts w:ascii="Times New Roman" w:cs="Times New Roman" w:eastAsia="Times New Roman" w:hAnsi="Times New Roman"/>
          <w:sz w:val="24"/>
          <w:szCs w:val="24"/>
        </w:rPr>
        <w:t xml:space="preserve">   (7)</w:t>
      </w:r>
    </w:p>
    <w:p>
      <w:pPr>
        <w:spacing w:after="140" w:before="140"/>
        <w:jc w:val="center"/>
      </w:pPr>
      <w:r>
        <w:rPr>
          <w:rFonts w:ascii="Times New Roman" w:cs="Times New Roman" w:eastAsia="Times New Roman" w:hAnsi="Times New Roman"/>
          <w:i/>
          <w:iCs/>
          <w:sz w:val="24"/>
          <w:szCs w:val="24"/>
        </w:rPr>
        <w:t xml:space="preserve">a_W = 2π·k_w / ln(r_P/r_W),   a_E = 2π·k_e / ln(r_E/r_P)</w:t>
      </w:r>
      <w:r>
        <w:rPr>
          <w:rFonts w:ascii="Times New Roman" w:cs="Times New Roman" w:eastAsia="Times New Roman" w:hAnsi="Times New Roman"/>
          <w:sz w:val="24"/>
          <w:szCs w:val="24"/>
        </w:rPr>
        <w:t xml:space="preserve">   (8)</w:t>
      </w:r>
    </w:p>
    <w:p>
      <w:pPr>
        <w:spacing w:after="140" w:before="140"/>
        <w:jc w:val="center"/>
      </w:pPr>
      <w:r>
        <w:rPr>
          <w:rFonts w:ascii="Times New Roman" w:cs="Times New Roman" w:eastAsia="Times New Roman" w:hAnsi="Times New Roman"/>
          <w:i/>
          <w:iCs/>
          <w:sz w:val="24"/>
          <w:szCs w:val="24"/>
        </w:rPr>
        <w:t xml:space="preserve">a_P⁰ = ρ·cp·π·(r_e² − r_w²)/Δt,   a_P = a_W + a_E + a_P⁰,   b = a_P⁰·T_P⁰</w:t>
      </w:r>
      <w:r>
        <w:rPr>
          <w:rFonts w:ascii="Times New Roman" w:cs="Times New Roman" w:eastAsia="Times New Roman" w:hAnsi="Times New Roman"/>
          <w:sz w:val="24"/>
          <w:szCs w:val="24"/>
        </w:rPr>
        <w:t xml:space="preserve">   (9)</w:t>
      </w:r>
    </w:p>
    <w:p>
      <w:pPr>
        <w:spacing w:after="120" w:line="276"/>
        <w:jc w:val="both"/>
      </w:pPr>
      <w:r>
        <w:rPr>
          <w:rFonts w:ascii="Times New Roman" w:cs="Times New Roman" w:eastAsia="Times New Roman" w:hAnsi="Times New Roman"/>
          <w:b w:val="false"/>
          <w:bCs w:val="false"/>
          <w:i w:val="false"/>
          <w:iCs w:val="false"/>
          <w:sz w:val="24"/>
          <w:szCs w:val="24"/>
        </w:rPr>
        <w:t xml:space="preserve">Las conductancias tienen forma logarítmica porque la geometría es cilíndrica; en el límite de capas delgadas frente al radio se reducen a la forma plana conocida. La conductividad en la cara entre dos materiales distintos debe evaluarse por media armónica, en su forma cilíndrica:</w:t>
      </w:r>
    </w:p>
    <w:p>
      <w:pPr>
        <w:spacing w:after="140" w:before="140"/>
        <w:jc w:val="center"/>
      </w:pPr>
      <w:r>
        <w:rPr>
          <w:rFonts w:ascii="Times New Roman" w:cs="Times New Roman" w:eastAsia="Times New Roman" w:hAnsi="Times New Roman"/>
          <w:i/>
          <w:iCs/>
          <w:sz w:val="24"/>
          <w:szCs w:val="24"/>
        </w:rPr>
        <w:t xml:space="preserve">k_e = ln(r_E/r_P) / [ ln(r_e/r_P)/k_P + ln(r_E/r_e)/k_E ]</w:t>
      </w:r>
      <w:r>
        <w:rPr>
          <w:rFonts w:ascii="Times New Roman" w:cs="Times New Roman" w:eastAsia="Times New Roman" w:hAnsi="Times New Roman"/>
          <w:sz w:val="24"/>
          <w:szCs w:val="24"/>
        </w:rPr>
        <w:t xml:space="preserve">   (10)</w:t>
      </w:r>
    </w:p>
    <w:p>
      <w:pPr>
        <w:spacing w:after="120" w:line="276"/>
        <w:jc w:val="both"/>
      </w:pPr>
      <w:r>
        <w:rPr>
          <w:rFonts w:ascii="Times New Roman" w:cs="Times New Roman" w:eastAsia="Times New Roman" w:hAnsi="Times New Roman"/>
          <w:b w:val="false"/>
          <w:bCs w:val="false"/>
          <w:i w:val="false"/>
          <w:iCs w:val="false"/>
          <w:sz w:val="24"/>
          <w:szCs w:val="24"/>
        </w:rPr>
        <w:t xml:space="preserve">Usar media aritmética en su lugar es un error silencioso: el programa corre y las gráficas parecen razonables, pero el modelo deja pasar más calor del que físicamente pasaría. En la interfaz entre la capa de seguridad y el aislante, con k de 1.53 y 0.137 W/(m·K), la media aritmética da 0.83 y la armónica 0.25, un factor de más de tres.</w:t>
      </w:r>
    </w:p>
    <w:p>
      <w:pPr>
        <w:spacing w:after="80" w:before="180"/>
        <w:jc w:val="left"/>
      </w:pPr>
      <w:r>
        <w:rPr>
          <w:rFonts w:ascii="Times New Roman" w:cs="Times New Roman" w:eastAsia="Times New Roman" w:hAnsi="Times New Roman"/>
          <w:b/>
          <w:bCs/>
          <w:i/>
          <w:iCs/>
          <w:sz w:val="24"/>
          <w:szCs w:val="24"/>
        </w:rPr>
        <w:t xml:space="preserve">Nodos de frontera</w:t>
      </w:r>
    </w:p>
    <w:p>
      <w:pPr>
        <w:spacing w:after="120" w:line="276"/>
        <w:jc w:val="both"/>
      </w:pPr>
      <w:r>
        <w:rPr>
          <w:rFonts w:ascii="Times New Roman" w:cs="Times New Roman" w:eastAsia="Times New Roman" w:hAnsi="Times New Roman"/>
          <w:b w:val="false"/>
          <w:bCs w:val="false"/>
          <w:i w:val="false"/>
          <w:iCs w:val="false"/>
          <w:sz w:val="24"/>
          <w:szCs w:val="24"/>
        </w:rPr>
        <w:t xml:space="preserve">En los extremos el volumen de control es medio y el balance incluye el flujo que entra desde el exterior. Como el término radiativo no es lineal en la temperatura, se propone resolverlo por iteración dentro de cada paso de tiempo: se calcula el coeficiente radiativo equivalente h_r = ε·σ·(T_s + T_∞)·(T_s² + T_∞²) con la temperatura de la iteración anterior, se resuelve el sistema, se recalcula h_r con la temperatura recién obtenida y se repite hasta que la superficie cambie menos de 0.01 °C. Bastan dos o tres iteraciones por paso.</w:t>
      </w:r>
    </w:p>
    <w:p>
      <w:pPr>
        <w:spacing w:after="120" w:line="276"/>
        <w:jc w:val="both"/>
      </w:pPr>
      <w:r>
        <w:rPr>
          <w:rFonts w:ascii="Times New Roman" w:cs="Times New Roman" w:eastAsia="Times New Roman" w:hAnsi="Times New Roman"/>
          <w:b w:val="false"/>
          <w:bCs w:val="false"/>
          <w:i w:val="false"/>
          <w:iCs w:val="false"/>
          <w:sz w:val="24"/>
          <w:szCs w:val="24"/>
        </w:rPr>
        <w:t xml:space="preserve">La razón de no linealizar de una vez por todas es cuantitativa: entre 1550 y 700 °C el coeficiente radiativo cae en un factor cercano a cinco. Un coeficiente constante no reproduce el enfriamiento, que es justamente el fenómeno que se quiere modelar.</w:t>
      </w:r>
    </w:p>
    <w:p>
      <w:pPr>
        <w:spacing w:after="80" w:before="180"/>
        <w:jc w:val="left"/>
      </w:pPr>
      <w:r>
        <w:rPr>
          <w:rFonts w:ascii="Times New Roman" w:cs="Times New Roman" w:eastAsia="Times New Roman" w:hAnsi="Times New Roman"/>
          <w:b/>
          <w:bCs/>
          <w:i/>
          <w:iCs/>
          <w:sz w:val="24"/>
          <w:szCs w:val="24"/>
        </w:rPr>
        <w:t xml:space="preserve">Malla y paso de tiempo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Malla: </w:t>
      </w:r>
      <w:r>
        <w:rPr>
          <w:rFonts w:ascii="Times New Roman" w:cs="Times New Roman" w:eastAsia="Times New Roman" w:hAnsi="Times New Roman"/>
          <w:sz w:val="24"/>
          <w:szCs w:val="24"/>
        </w:rPr>
        <w:t xml:space="preserve">se construye capa por capa, nunca uniforme sobre el espesor total, de modo que las fronteras físicas coincidan con caras de volumen de control. Como punto de partida: 20 nodos en la capa de trabajo, 5 en la junta seca, 12 en la de seguridad, 6 en el aislante y 3 en la coraza.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Paso de tiempo: </w:t>
      </w:r>
      <w:r>
        <w:rPr>
          <w:rFonts w:ascii="Times New Roman" w:cs="Times New Roman" w:eastAsia="Times New Roman" w:hAnsi="Times New Roman"/>
          <w:sz w:val="24"/>
          <w:szCs w:val="24"/>
        </w:rPr>
        <w:t xml:space="preserve">con esquema implícito se elige por exactitud. Se propone 1 segundo en los primeros cinco minutos, donde la superficie cambia rápido, y 10 a 30 segundos después.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Justificación de descartar el esquema explícito: </w:t>
      </w:r>
      <w:r>
        <w:rPr>
          <w:rFonts w:ascii="Times New Roman" w:cs="Times New Roman" w:eastAsia="Times New Roman" w:hAnsi="Times New Roman"/>
          <w:sz w:val="24"/>
          <w:szCs w:val="24"/>
        </w:rPr>
        <w:t xml:space="preserve">la estabilidad exigiría Δt ≤ Δx²/(2α), y la coraza de acero, con α = 8.2 × 10⁻⁶ m²/s, impondría pasos de fracciones de segundo y cientos de miles de pasos por corrida.</w:t>
      </w:r>
    </w:p>
    <w:p>
      <w:pPr>
        <w:spacing w:after="100" w:before="240"/>
        <w:jc w:val="left"/>
      </w:pPr>
      <w:r>
        <w:rPr>
          <w:rFonts w:ascii="Times New Roman" w:cs="Times New Roman" w:eastAsia="Times New Roman" w:hAnsi="Times New Roman"/>
          <w:b/>
          <w:bCs/>
          <w:sz w:val="24"/>
          <w:szCs w:val="24"/>
        </w:rPr>
        <w:t xml:space="preserve">7.3 Cómo comenzar: secuencia de construcción con verificación en cada paso</w:t>
      </w:r>
    </w:p>
    <w:p>
      <w:pPr>
        <w:spacing w:after="120" w:line="276"/>
        <w:jc w:val="both"/>
      </w:pPr>
      <w:r>
        <w:rPr>
          <w:rFonts w:ascii="Times New Roman" w:cs="Times New Roman" w:eastAsia="Times New Roman" w:hAnsi="Times New Roman"/>
          <w:b w:val="false"/>
          <w:bCs w:val="false"/>
          <w:i w:val="false"/>
          <w:iCs w:val="false"/>
          <w:sz w:val="24"/>
          <w:szCs w:val="24"/>
        </w:rPr>
        <w:t xml:space="preserve">Se propone construir el programa en siete pasos, cada uno con su prueba. La disciplina de no avanzar sin pasar la prueba del paso anterior es lo que evita el escenario más costoso del proyecto: descubrir en la etapa de calibración que hay un error de programación y no poder separarlo de un error de propiedades.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Paso</w:t>
            </w:r>
          </w:p>
        </w:tc>
        <w:tc>
          <w:tcPr>
            <w:tcW w:type="pct" w:w="4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Qué se construye</w:t>
            </w:r>
          </w:p>
        </w:tc>
        <w:tc>
          <w:tcPr>
            <w:tcW w:type="pct" w:w="5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Prueba que debe pasar</w:t>
            </w:r>
          </w:p>
        </w:tc>
      </w:tr>
      <w:tr>
        <w:tc>
          <w:tcPr>
            <w:tcW w:type="pct" w:w="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Estructura de datos: capas, propiedades, malla generada capa por capa</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suma de espesores de la malla iguala el espesor total; las interfaces coinciden con caras de celda</w:t>
            </w:r>
          </w:p>
        </w:tc>
      </w:tr>
      <w:tr>
        <w:tc>
          <w:tcPr>
            <w:tcW w:type="pct" w:w="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Conductancias y coeficientes del sistema, con propiedades constantes</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Los coeficientes cumplen a_P = a_W + a_E + a_P⁰ en todos los nodos interiores</w:t>
            </w:r>
          </w:p>
        </w:tc>
      </w:tr>
      <w:tr>
        <w:tc>
          <w:tcPr>
            <w:tcW w:type="pct" w:w="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Solucionador tridiagonal (algoritmo de Thomas)</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Resuelve correctamente un sistema pequeño verificable a mano</w:t>
            </w:r>
          </w:p>
        </w:tc>
      </w:tr>
      <w:tr>
        <w:tc>
          <w:tcPr>
            <w:tcW w:type="pct" w:w="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Avance en el tiempo con una sola capa, propiedades constantes y temperatura impuesta en la superficie</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Reproduce la solución analítica del sólido semiinfinito con error menor al 1 %</w:t>
            </w:r>
          </w:p>
        </w:tc>
      </w:tr>
      <w:tr>
        <w:tc>
          <w:tcPr>
            <w:tcW w:type="pct" w:w="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Multicapa con media armónica en las interfaces y fronteras convectivas</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 condiciones de frontera constantes y tiempo largo, converge al perfil estacionario de la versión V0</w:t>
            </w:r>
          </w:p>
        </w:tc>
      </w:tr>
      <w:tr>
        <w:tc>
          <w:tcPr>
            <w:tcW w:type="pct" w:w="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Frontera radiativa con iteración dentro del paso</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balance global de energía cierra con error menor al 1 %; la temperatura de superficie es monótona decreciente durante el enfriamiento</w:t>
            </w:r>
          </w:p>
        </w:tc>
      </w:tr>
      <w:tr>
        <w:tc>
          <w:tcPr>
            <w:tcW w:type="pct" w:w="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w:t>
            </w:r>
          </w:p>
        </w:tc>
        <w:tc>
          <w:tcPr>
            <w:tcW w:type="pct" w:w="4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Propiedades dependientes de la temperatura</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resultado con k(T) y con k media difiere de forma coherente y explicable, no de forma errática</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7.4 Las cuatro verificaciones obligatorias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Contra solución analítica: </w:t>
      </w:r>
      <w:r>
        <w:rPr>
          <w:rFonts w:ascii="Times New Roman" w:cs="Times New Roman" w:eastAsia="Times New Roman" w:hAnsi="Times New Roman"/>
          <w:sz w:val="24"/>
          <w:szCs w:val="24"/>
        </w:rPr>
        <w:t xml:space="preserve">una capa, propiedades constantes, temperatura impuesta en la superficie, comparado con T(x,t) = T_s + (T_i − T_s)·erf[x/(2√(α·t))]. Criterio: error menor al 1 %.</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Convergencia al estacionario: </w:t>
      </w:r>
      <w:r>
        <w:rPr>
          <w:rFonts w:ascii="Times New Roman" w:cs="Times New Roman" w:eastAsia="Times New Roman" w:hAnsi="Times New Roman"/>
          <w:sz w:val="24"/>
          <w:szCs w:val="24"/>
        </w:rPr>
        <w:t xml:space="preserve">condiciones de frontera constantes y tiempo largo; debe converger al perfil calculado analíticamente en V0. Es la única prueba que detecta errores en el tratamiento de las interfaces entre capas.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Balance global de energía: </w:t>
      </w:r>
      <w:r>
        <w:rPr>
          <w:rFonts w:ascii="Times New Roman" w:cs="Times New Roman" w:eastAsia="Times New Roman" w:hAnsi="Times New Roman"/>
          <w:sz w:val="24"/>
          <w:szCs w:val="24"/>
        </w:rPr>
        <w:t xml:space="preserve">la energía acumulada en el revestimiento debe igualar la diferencia entre lo que entra y lo que sale. Criterio: cierre mejor al 1 %.</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Independencia de malla y de paso de tiempo: </w:t>
      </w:r>
      <w:r>
        <w:rPr>
          <w:rFonts w:ascii="Times New Roman" w:cs="Times New Roman" w:eastAsia="Times New Roman" w:hAnsi="Times New Roman"/>
          <w:sz w:val="24"/>
          <w:szCs w:val="24"/>
        </w:rPr>
        <w:t xml:space="preserve">duplicar el número de nodos y reducir Δt a la mitad debe cambiar el resultado en menos de 2 °C.</w:t>
      </w:r>
    </w:p>
    <w:p>
      <w:pPr>
        <w:spacing w:after="120" w:line="276"/>
        <w:jc w:val="both"/>
      </w:pPr>
      <w:r>
        <w:rPr>
          <w:rFonts w:ascii="Times New Roman" w:cs="Times New Roman" w:eastAsia="Times New Roman" w:hAnsi="Times New Roman"/>
          <w:b w:val="false"/>
          <w:bCs w:val="false"/>
          <w:i w:val="false"/>
          <w:iCs w:val="false"/>
          <w:sz w:val="24"/>
          <w:szCs w:val="24"/>
        </w:rPr>
        <w:t xml:space="preserve">A estas cuatro se añade una quinta prueba, cualitativa pero decisiva para esta etapa: el modelo debe reproducir el desplazamiento del máximo de temperatura hacia el interior del refractario conforme la olla se enfría. Si el máximo se queda en la cara caliente, la condición de frontera radiativa está mal implementada.</w:t>
      </w:r>
    </w:p>
    <w:p>
      <w:pPr>
        <w:spacing w:after="100" w:before="240"/>
        <w:jc w:val="left"/>
      </w:pPr>
      <w:r>
        <w:rPr>
          <w:rFonts w:ascii="Times New Roman" w:cs="Times New Roman" w:eastAsia="Times New Roman" w:hAnsi="Times New Roman"/>
          <w:b/>
          <w:bCs/>
          <w:sz w:val="24"/>
          <w:szCs w:val="24"/>
        </w:rPr>
        <w:t xml:space="preserve">7.5 Construcción del modelo inicial: el estacionario</w:t>
      </w:r>
    </w:p>
    <w:p>
      <w:pPr>
        <w:spacing w:after="120" w:line="276"/>
        <w:jc w:val="both"/>
      </w:pPr>
      <w:r>
        <w:rPr>
          <w:rFonts w:ascii="Times New Roman" w:cs="Times New Roman" w:eastAsia="Times New Roman" w:hAnsi="Times New Roman"/>
          <w:b w:val="false"/>
          <w:bCs w:val="false"/>
          <w:i w:val="false"/>
          <w:iCs w:val="false"/>
          <w:sz w:val="24"/>
          <w:szCs w:val="24"/>
        </w:rPr>
        <w:t xml:space="preserve">El modelo inicial es el estacionario y ya está construido en hoja de cálculo. Conviene detallar por qué se hace primero y qué se obtuvo, porque es el punto de partida de todo lo demás.</w:t>
      </w:r>
    </w:p>
    <w:p>
      <w:pPr>
        <w:spacing w:after="80" w:before="180"/>
        <w:jc w:val="left"/>
      </w:pPr>
      <w:r>
        <w:rPr>
          <w:rFonts w:ascii="Times New Roman" w:cs="Times New Roman" w:eastAsia="Times New Roman" w:hAnsi="Times New Roman"/>
          <w:b/>
          <w:bCs/>
          <w:i/>
          <w:iCs/>
          <w:sz w:val="24"/>
          <w:szCs w:val="24"/>
        </w:rPr>
        <w:t xml:space="preserve">Por qué el estacionario primero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Verificación: </w:t>
      </w:r>
      <w:r>
        <w:rPr>
          <w:rFonts w:ascii="Times New Roman" w:cs="Times New Roman" w:eastAsia="Times New Roman" w:hAnsi="Times New Roman"/>
          <w:sz w:val="24"/>
          <w:szCs w:val="24"/>
        </w:rPr>
        <w:t xml:space="preserve">el estacionario cilíndrico multicapa tiene solución analítica cerrada. Es el patrón contra el cual se comprueba que el código transitorio trata correctamente las interfaces.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Condición inicial: </w:t>
      </w:r>
      <w:r>
        <w:rPr>
          <w:rFonts w:ascii="Times New Roman" w:cs="Times New Roman" w:eastAsia="Times New Roman" w:hAnsi="Times New Roman"/>
          <w:sz w:val="24"/>
          <w:szCs w:val="24"/>
        </w:rPr>
        <w:t xml:space="preserve">genera el perfil de arranque del enfriamiento sin necesidad de simular las etapas anteriores.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Detección temprana de propiedades erróneas: </w:t>
      </w:r>
      <w:r>
        <w:rPr>
          <w:rFonts w:ascii="Times New Roman" w:cs="Times New Roman" w:eastAsia="Times New Roman" w:hAnsi="Times New Roman"/>
          <w:sz w:val="24"/>
          <w:szCs w:val="24"/>
        </w:rPr>
        <w:t xml:space="preserve">si la coraza sale a 600 °C o a 80 °C, hay un error en las conductividades o en los coeficientes, y se descubre en un día en lugar de en tres semanas.</w:t>
      </w:r>
    </w:p>
    <w:p>
      <w:pPr>
        <w:spacing w:after="120" w:line="276"/>
        <w:jc w:val="both"/>
      </w:pPr>
      <w:r>
        <w:rPr>
          <w:rFonts w:ascii="Times New Roman" w:cs="Times New Roman" w:eastAsia="Times New Roman" w:hAnsi="Times New Roman"/>
          <w:b w:val="false"/>
          <w:bCs w:val="false"/>
          <w:i w:val="false"/>
          <w:iCs w:val="false"/>
          <w:sz w:val="24"/>
          <w:szCs w:val="24"/>
        </w:rPr>
        <w:t xml:space="preserve">Lo que no debe hacerse es presentar el estacionario como un estado del proceso. La olla nunca lo alcanza: la constante de tiempo del revestimiento, calculada como el producto de su resistencia por su capacidad térmica, es de 28 horas, frente a etapas de decenas de minutos.</w:t>
      </w:r>
    </w:p>
    <w:p>
      <w:pPr>
        <w:spacing w:after="80" w:before="180"/>
        <w:jc w:val="left"/>
      </w:pPr>
      <w:r>
        <w:rPr>
          <w:rFonts w:ascii="Times New Roman" w:cs="Times New Roman" w:eastAsia="Times New Roman" w:hAnsi="Times New Roman"/>
          <w:b/>
          <w:bCs/>
          <w:i/>
          <w:iCs/>
          <w:sz w:val="24"/>
          <w:szCs w:val="24"/>
        </w:rPr>
        <w:t xml:space="preserve">Resultado del modelo inicial</w:t>
      </w:r>
    </w:p>
    <w:p>
      <w:pPr>
        <w:spacing w:after="120" w:line="276"/>
        <w:jc w:val="both"/>
      </w:pPr>
      <w:r>
        <w:rPr>
          <w:rFonts w:ascii="Times New Roman" w:cs="Times New Roman" w:eastAsia="Times New Roman" w:hAnsi="Times New Roman"/>
          <w:b w:val="false"/>
          <w:bCs w:val="false"/>
          <w:i w:val="false"/>
          <w:iCs w:val="false"/>
          <w:sz w:val="24"/>
          <w:szCs w:val="24"/>
        </w:rPr>
        <w:t xml:space="preserve">Con los espesores capturados, propiedades propuestas de literatura, r₁ = 1.30 m, acero a 1560 °C, h_int = 1000 W/(m²·K), ambiente a 35 °C y h_ext = 22 W/(m²·K):</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Posición</w:t>
            </w:r>
          </w:p>
        </w:tc>
        <w:tc>
          <w:tcPr>
            <w:tcW w:type="pct" w:w="2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Temperatura (°C)</w:t>
            </w:r>
          </w:p>
        </w:tc>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Caída en la capa (°C)</w:t>
            </w:r>
          </w:p>
        </w:tc>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 de la caída total</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Cara caliente del refractario</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1552</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trabajo / junta seca</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1421</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131</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8.6 %</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junta seca / seguridad</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1304</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117</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7.7 %</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seguridad / aislante</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965</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338</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22.2 %</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aislante / coraza</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335</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630</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41.3 %</w:t>
            </w:r>
          </w:p>
        </w:tc>
      </w:tr>
      <w:tr>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Cara fría de la coraza</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335</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0.3</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0.02 %</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Flujo lineal 63 375 W/m; flux en la cara caliente 7759 W/m². El hallazgo relevante es que la junta seca de 12.5 mm produce casi la misma caída de temperatura que los 127 mm de capa de trabajo, lo que la convierte en un dato prioritario que hoy no se tiene.</w:t>
      </w:r>
    </w:p>
    <w:p>
      <w:pPr>
        <w:spacing w:after="100" w:before="240"/>
        <w:jc w:val="left"/>
      </w:pPr>
      <w:r>
        <w:rPr>
          <w:rFonts w:ascii="Times New Roman" w:cs="Times New Roman" w:eastAsia="Times New Roman" w:hAnsi="Times New Roman"/>
          <w:b/>
          <w:bCs/>
          <w:sz w:val="24"/>
          <w:szCs w:val="24"/>
        </w:rPr>
        <w:t xml:space="preserve">7.6 Del estacionario al transitorio: qué se agrega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Elemento</w:t>
            </w:r>
          </w:p>
        </w:tc>
        <w:tc>
          <w:tcPr>
            <w:tcW w:type="pct" w:w="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En el estacionario</w:t>
            </w:r>
          </w:p>
        </w:tc>
        <w:tc>
          <w:tcPr>
            <w:tcW w:type="pct" w:w="4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En el transitorio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Término de acumulación</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Ausente</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Aparece ρ·cp·∂T/∂t; se necesita ρ y cp de cada capa, no solo k</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Condición inicial</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 aplica</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 indispensable; la aporta el propio estacionario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Discretización espacial</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 hay: solución analítica</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Malla por capas con volúmenes de control</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Discretización temporal</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 hay</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Esquema implícito con paso variable</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Absorbida en un coeficiente combinado</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Explícita como T⁴, resuelta por iteración dentro del paso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Propiedades</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Constantes, valor medio por capa</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Dependientes de la temperatura, interpoladas</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Resultado</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 perfil</w:t>
            </w:r>
          </w:p>
        </w:tc>
        <w:tc>
          <w:tcPr>
            <w:tcW w:type="pct" w:w="4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Una familia de perfiles y las historias térmicas de cada punto</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8. HERRAMIENTAS PROPUESTAS</w:t>
      </w:r>
    </w:p>
    <w:p>
      <w:pPr>
        <w:spacing w:after="100" w:before="240"/>
        <w:jc w:val="left"/>
      </w:pPr>
      <w:r>
        <w:rPr>
          <w:rFonts w:ascii="Times New Roman" w:cs="Times New Roman" w:eastAsia="Times New Roman" w:hAnsi="Times New Roman"/>
          <w:b/>
          <w:bCs/>
          <w:sz w:val="24"/>
          <w:szCs w:val="24"/>
        </w:rPr>
        <w:t xml:space="preserve">8.1 Recomendación</w:t>
      </w:r>
    </w:p>
    <w:p>
      <w:pPr>
        <w:spacing w:after="120" w:line="276"/>
        <w:jc w:val="both"/>
      </w:pPr>
      <w:r>
        <w:rPr>
          <w:rFonts w:ascii="Times New Roman" w:cs="Times New Roman" w:eastAsia="Times New Roman" w:hAnsi="Times New Roman"/>
          <w:b w:val="false"/>
          <w:bCs w:val="false"/>
          <w:i w:val="false"/>
          <w:iCs w:val="false"/>
          <w:sz w:val="24"/>
          <w:szCs w:val="24"/>
        </w:rPr>
        <w:t xml:space="preserve">Hoja de cálculo para el modelo estacionario y Python para todas las versiones transitorias. No es una elección de gusto: responde a la naturaleza de cada cálculo.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Criterio</w:t>
            </w:r>
          </w:p>
        </w:tc>
        <w:tc>
          <w:tcPr>
            <w:tcW w:type="pct" w:w="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Hoja de cálculo</w:t>
            </w:r>
          </w:p>
        </w:tc>
        <w:tc>
          <w:tcPr>
            <w:tcW w:type="pct" w:w="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Python</w:t>
            </w:r>
          </w:p>
        </w:tc>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MATLAB</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Modelo estacionario</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Ideal: el cálculo es una cadena de resistencias y se ve todo a la vez</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Innecesario</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Innecesario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Modelo transitorio con miles de pasos</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Impráctico: obliga a una hoja gigante y frágil</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Natural: bucles, vectores y solucionador tridiagonal</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Igualmente natural</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Barrido de decenas de casos</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Manual y propenso a error</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 bucle</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 bucle</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Gráficas del entregable</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Aceptables</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Reproducibles y automatizables con Matplotlib</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Equivalente</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Costo y disponibilidad</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Disponible</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Libre; instalable en cualquier equipo</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Requiere licencia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Trazabilidad y control de cambios</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Baja: los cambios no dejan rastro</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Alta con control de versiones</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Media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Comunicación en planta</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Alta: todos abren un Excel</w:t>
            </w:r>
          </w:p>
        </w:tc>
        <w:tc>
          <w:tcPr>
            <w:tcW w:type="pct" w:w="2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Baja sin una interfaz</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Baja</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combinación propuesta aprovecha lo mejor de ambos: Python calcula y genera los resultados; la hoja de cálculo sirve como formato de captura de datos y como entregable para planta, alimentada con las tablas que produzca el modelo.</w:t>
      </w:r>
    </w:p>
    <w:p>
      <w:pPr>
        <w:spacing w:after="100" w:before="240"/>
        <w:jc w:val="left"/>
      </w:pPr>
      <w:r>
        <w:rPr>
          <w:rFonts w:ascii="Times New Roman" w:cs="Times New Roman" w:eastAsia="Times New Roman" w:hAnsi="Times New Roman"/>
          <w:b/>
          <w:bCs/>
          <w:sz w:val="24"/>
          <w:szCs w:val="24"/>
        </w:rPr>
        <w:t xml:space="preserve">8.2 Entorno y bibliotecas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NumPy: </w:t>
      </w:r>
      <w:r>
        <w:rPr>
          <w:rFonts w:ascii="Times New Roman" w:cs="Times New Roman" w:eastAsia="Times New Roman" w:hAnsi="Times New Roman"/>
          <w:sz w:val="24"/>
          <w:szCs w:val="24"/>
        </w:rPr>
        <w:t xml:space="preserve">manejo de vectores y matrices; es donde vive la malla y el campo de temperatura.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SciPy: </w:t>
      </w:r>
      <w:r>
        <w:rPr>
          <w:rFonts w:ascii="Times New Roman" w:cs="Times New Roman" w:eastAsia="Times New Roman" w:hAnsi="Times New Roman"/>
          <w:sz w:val="24"/>
          <w:szCs w:val="24"/>
        </w:rPr>
        <w:t xml:space="preserve">opcionalmente scipy.linalg.solve_banded para el sistema tridiagonal, aunque escribir el algoritmo de Thomas propio es preferible en un trabajo académico porque demuestra comprensión y son quince líneas.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Matplotlib: </w:t>
      </w:r>
      <w:r>
        <w:rPr>
          <w:rFonts w:ascii="Times New Roman" w:cs="Times New Roman" w:eastAsia="Times New Roman" w:hAnsi="Times New Roman"/>
          <w:sz w:val="24"/>
          <w:szCs w:val="24"/>
        </w:rPr>
        <w:t xml:space="preserve">gráficas de perfiles e historias térmicas.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Pandas: </w:t>
      </w:r>
      <w:r>
        <w:rPr>
          <w:rFonts w:ascii="Times New Roman" w:cs="Times New Roman" w:eastAsia="Times New Roman" w:hAnsi="Times New Roman"/>
          <w:sz w:val="24"/>
          <w:szCs w:val="24"/>
        </w:rPr>
        <w:t xml:space="preserve">lectura de la tabla de propiedades y del ciclo desde el archivo de captura, y escritura de resultados.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Entorno: </w:t>
      </w:r>
      <w:r>
        <w:rPr>
          <w:rFonts w:ascii="Times New Roman" w:cs="Times New Roman" w:eastAsia="Times New Roman" w:hAnsi="Times New Roman"/>
          <w:sz w:val="24"/>
          <w:szCs w:val="24"/>
        </w:rPr>
        <w:t xml:space="preserve">cualquier instalación de Python 3 con Jupyter para explorar y archivos .py para el código estable. Se recomienda desarrollar en cuaderno y consolidar en módulos.</w:t>
      </w:r>
    </w:p>
    <w:p>
      <w:pPr>
        <w:spacing w:after="100" w:before="240"/>
        <w:jc w:val="left"/>
      </w:pPr>
      <w:r>
        <w:rPr>
          <w:rFonts w:ascii="Times New Roman" w:cs="Times New Roman" w:eastAsia="Times New Roman" w:hAnsi="Times New Roman"/>
          <w:b/>
          <w:bCs/>
          <w:sz w:val="24"/>
          <w:szCs w:val="24"/>
        </w:rPr>
        <w:t xml:space="preserve">8.3 Organización del código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tblGrid>
      <w:tr>
        <w:trPr>
          <w:tblHeader/>
        </w:trPr>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Módulo</w:t>
            </w:r>
          </w:p>
        </w:tc>
        <w:tc>
          <w:tcPr>
            <w:tcW w:type="pct" w:w="7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Responsabilidad</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datos.py</w:t>
            </w:r>
          </w:p>
        </w:tc>
        <w:tc>
          <w:tcPr>
            <w:tcW w:type="pct" w:w="7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Lectura de geometría, propiedades y parámetros desde el archivo de captura. Ninguna constante numérica escrita en el código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propiedades.py</w:t>
            </w:r>
          </w:p>
        </w:tc>
        <w:tc>
          <w:tcPr>
            <w:tcW w:type="pct" w:w="7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Devolver k, ρ y cp interpolados a la temperatura dada, por capa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malla.py</w:t>
            </w:r>
          </w:p>
        </w:tc>
        <w:tc>
          <w:tcPr>
            <w:tcW w:type="pct" w:w="7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Construir nodos y caras respetando las interfaces entre capas</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coeficientes.py</w:t>
            </w:r>
          </w:p>
        </w:tc>
        <w:tc>
          <w:tcPr>
            <w:tcW w:type="pct" w:w="7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Ensamblar a_W, a_E, a_P y b con media armónica cilíndrica en las caras</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fronteras.py</w:t>
            </w:r>
          </w:p>
        </w:tc>
        <w:tc>
          <w:tcPr>
            <w:tcW w:type="pct" w:w="7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Devolver el flujo o el coeficiente equivalente de cada cara según la etapa; incluye el modelo de cavidad y la iteración radiativa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tdma.py</w:t>
            </w:r>
          </w:p>
        </w:tc>
        <w:tc>
          <w:tcPr>
            <w:tcW w:type="pct" w:w="7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Algoritmo de Thomas</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simular.py</w:t>
            </w:r>
          </w:p>
        </w:tc>
        <w:tc>
          <w:tcPr>
            <w:tcW w:type="pct" w:w="7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Avanzar una etapa; encadenar etapas; guardar historias</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verificar.py</w:t>
            </w:r>
          </w:p>
        </w:tc>
        <w:tc>
          <w:tcPr>
            <w:tcW w:type="pct" w:w="7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Las cuatro pruebas obligatorias, ejecutables con un comando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graficar.py</w:t>
            </w:r>
          </w:p>
        </w:tc>
        <w:tc>
          <w:tcPr>
            <w:tcW w:type="pct" w:w="7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Perfiles, historias y las figuras del reporte</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8.4 Trazabilidad</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Separación entre datos y código: </w:t>
      </w:r>
      <w:r>
        <w:rPr>
          <w:rFonts w:ascii="Times New Roman" w:cs="Times New Roman" w:eastAsia="Times New Roman" w:hAnsi="Times New Roman"/>
          <w:sz w:val="24"/>
          <w:szCs w:val="24"/>
        </w:rPr>
        <w:t xml:space="preserve">todos los números de entrada viven en el archivo de captura, no en el código. Así, cuando lleguen las fichas técnicas del proveedor, se sustituye una celda y se vuelve a correr sin tocar el programa.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Registro del origen de cada dato: </w:t>
      </w:r>
      <w:r>
        <w:rPr>
          <w:rFonts w:ascii="Times New Roman" w:cs="Times New Roman" w:eastAsia="Times New Roman" w:hAnsi="Times New Roman"/>
          <w:sz w:val="24"/>
          <w:szCs w:val="24"/>
        </w:rPr>
        <w:t xml:space="preserve">cada propiedad lleva su fuente y su estado: medida, de ficha técnica, de literatura o de calibración. Un resultado obtenido con propiedades de literatura no se reporta con el mismo estatus que uno obtenido con propiedades medidas.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Control de versiones: </w:t>
      </w:r>
      <w:r>
        <w:rPr>
          <w:rFonts w:ascii="Times New Roman" w:cs="Times New Roman" w:eastAsia="Times New Roman" w:hAnsi="Times New Roman"/>
          <w:sz w:val="24"/>
          <w:szCs w:val="24"/>
        </w:rPr>
        <w:t xml:space="preserve">un repositorio local con Git basta; permite volver a la versión que producía un resultado dado, que es exactamente lo que se necesita cuando el modelo empieza a dar números distintos.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Reproducibilidad: </w:t>
      </w:r>
      <w:r>
        <w:rPr>
          <w:rFonts w:ascii="Times New Roman" w:cs="Times New Roman" w:eastAsia="Times New Roman" w:hAnsi="Times New Roman"/>
          <w:sz w:val="24"/>
          <w:szCs w:val="24"/>
        </w:rPr>
        <w:t xml:space="preserve">cada figura del reporte debe poder regenerarse ejecutando un archivo, sin pasos manuales intermedios.</w:t>
      </w:r>
    </w:p>
    <w:p>
      <w:pPr>
        <w:pageBreakBefore/>
        <w:spacing w:after="200" w:before="400"/>
        <w:jc w:val="center"/>
      </w:pPr>
      <w:r>
        <w:rPr>
          <w:rFonts w:ascii="Times New Roman" w:cs="Times New Roman" w:eastAsia="Times New Roman" w:hAnsi="Times New Roman"/>
          <w:b/>
          <w:bCs/>
          <w:sz w:val="24"/>
          <w:szCs w:val="24"/>
          <w:u w:val="single"/>
        </w:rPr>
        <w:t xml:space="preserve">9. PLAN DE TRABAJO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tcW w:type="pct" w:w="7%"/>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Fase</w:t>
            </w:r>
          </w:p>
        </w:tc>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Actividad</w:t>
            </w:r>
          </w:p>
        </w:tc>
        <w:tc>
          <w:tcPr>
            <w:tcW w:type="pct" w:w="3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Producto verificable</w:t>
            </w:r>
          </w:p>
        </w:tc>
        <w:tc>
          <w:tcPr>
            <w:tcW w:type="pct" w:w="17%"/>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Duración</w:t>
            </w:r>
          </w:p>
        </w:tc>
        <w:tc>
          <w:tcPr>
            <w:tcW w:type="pct" w:w="1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Depende de</w:t>
            </w:r>
          </w:p>
        </w:tc>
      </w:tr>
      <w:tr>
        <w:tc>
          <w:tcPr>
            <w:tcW w:type="pct" w:w="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F0</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Definición del sistema, convenios y suposiciones declaradas</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Documento de una página con el esquema acotado de capas</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 días</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pct" w:w="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F1</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Modelo estacionario</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Perfil de referencia y condición inicial</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Concluida</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F0</w:t>
            </w:r>
          </w:p>
        </w:tc>
      </w:tr>
      <w:tr>
        <w:tc>
          <w:tcPr>
            <w:tcW w:type="pct" w:w="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F2</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Solicitud de fichas técnicas y levantamiento de tiempos de proceso</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Tabla de propiedades con fuente e incertidumbre; distribución de tiempos de enfriamiento</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 paralelo, 2 a 4 semanas</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pct" w:w="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F3</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Código transitorio: pasos 1 a 4 de la sección 7.3</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Solucionador verificado contra sólido semiinfinito</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semana</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F1</w:t>
            </w:r>
          </w:p>
        </w:tc>
      </w:tr>
      <w:tr>
        <w:tc>
          <w:tcPr>
            <w:tcW w:type="pct" w:w="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F4</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Código transitorio: pasos 5 a 7</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Multicapa con radiación de cavidad y propiedades variables</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a 2 semanas</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F3</w:t>
            </w:r>
          </w:p>
        </w:tc>
      </w:tr>
      <w:tr>
        <w:tc>
          <w:tcPr>
            <w:tcW w:type="pct" w:w="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F5</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Simulación de la etapa de enfriamiento y barrido de tiempos de espera</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Familia de perfiles al ingreso del precalentador</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semana</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F4</w:t>
            </w:r>
          </w:p>
        </w:tc>
      </w:tr>
      <w:tr>
        <w:tc>
          <w:tcPr>
            <w:tcW w:type="pct" w:w="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F6</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Colada instrumentada y validación</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Comparación contra temperatura de coraza y cara caliente con error reportado</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Según disponibilidad de planta</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F5, F2</w:t>
            </w:r>
          </w:p>
        </w:tc>
      </w:tr>
      <w:tr>
        <w:tc>
          <w:tcPr>
            <w:tcW w:type="pct" w:w="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F7</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Extensión al precalentamiento y criterio de tiempo mínimo</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Curva operativa de tiempo de precalentamiento</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a 2 semanas</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F6</w:t>
            </w:r>
          </w:p>
        </w:tc>
      </w:tr>
      <w:tr>
        <w:tc>
          <w:tcPr>
            <w:tcW w:type="pct" w:w="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F8</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Ciclo completo y desgaste</w:t>
            </w:r>
          </w:p>
        </w:tc>
        <w:tc>
          <w:tcPr>
            <w:tcW w:type="pct" w:w="3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Curvas por número de coladas</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 semanas</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F7</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La ruta crítica no es el código sino los datos. La construcción y verificación del modelo transitorio ocupa unas tres semanas y puede comenzar de inmediato con valores provisionales; la obtención de propiedades reales y de la distribución de tiempos de enfriamiento es lo que determina cuándo habrá un resultado presentable. Por eso la fase F2 se lanza en paralelo desde el primer día.</w:t>
      </w:r>
    </w:p>
    <w:p>
      <w:pPr>
        <w:pageBreakBefore/>
        <w:spacing w:after="200" w:before="400"/>
        <w:jc w:val="center"/>
      </w:pPr>
      <w:r>
        <w:rPr>
          <w:rFonts w:ascii="Times New Roman" w:cs="Times New Roman" w:eastAsia="Times New Roman" w:hAnsi="Times New Roman"/>
          <w:b/>
          <w:bCs/>
          <w:sz w:val="24"/>
          <w:szCs w:val="24"/>
          <w:u w:val="single"/>
        </w:rPr>
        <w:t xml:space="preserve">10. RIESGOS Y MITIGACIÓN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Riesgo</w:t>
            </w:r>
          </w:p>
        </w:tc>
        <w:tc>
          <w:tcPr>
            <w:tcW w:type="pct" w:w="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Efecto</w:t>
            </w:r>
          </w:p>
        </w:tc>
        <w:tc>
          <w:tcPr>
            <w:tcW w:type="pct" w:w="4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Mitigación</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 se consigue la conductividad del aislante ni la de la junta seca</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Son las dos capas que aportan el 62 % de la resistencia térmica; sin ellas todo resultado es incierto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Tratarlas como parámetros de calibración contra temperatura de coraza medida, y declararlo explícitamente en el reporte</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 se consigue una colada instrumentada</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modelo queda verificado pero no validado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Reportarlo como modelo verificado y no validado; usar los datos publicados por Zimmer et al. (2008) como contraste cualitativo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espesor de coraza capturado es incorrecto</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Afecta la inercia térmica, que es lo que gobierna un modelo de enfriamiento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Verificar contra plano mecánico antes de la fase F5; el modelo lo toma como parámetro y basta recorrer</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Sobreajuste durante la calibración</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modelo reproduce los datos disponibles pero falla al extrapolar a otros tiempos, que es justo lo que se le pedirá</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Limitar a dos o tres parámetros de ajuste, elegidos por orden de incertidumbre física; nunca ajustar espesores ni duraciones</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Tiempos de proceso registrados solo como promedio</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 pierde la dispersión, que es la información valiosa: los casos extremos son los que causan problemas</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Solicitar el registro colada por colada y no el promedio; con veinte coladas basta para caracterizar la distribución</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Alcance creciente hacia el modelo 2D o termomecánico</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Consume el tiempo del proyecto sin producir el entregable</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Mantener las versiones V0 a V2 como compromiso; V3 y V4 solo si sobra tiempo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interior de la olla no es isotérmico y el factor de cavidad resulta insuficiente</w:t>
            </w:r>
          </w:p>
        </w:tc>
        <w:tc>
          <w:tcPr>
            <w:tcW w:type="pct" w:w="3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Error sistemático en la velocidad de enfriamiento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Tratar F como parámetro de calibración acotado entre 0.10 y 0.25; contrastar con la temperatura de cara caliente medida</w:t>
            </w:r>
          </w:p>
        </w:tc>
      </w:tr>
    </w:tbl>
    <w:p>
      <w:pPr>
        <w:spacing w:after="120"/>
      </w:pPr>
      <w:r>
        <w:rPr>
          <w:rFonts w:ascii="Times New Roman" w:cs="Times New Roman" w:eastAsia="Times New Roman" w:hAnsi="Times New Roman"/>
          <w:sz w:val="24"/>
          <w:szCs w:val="24"/>
        </w:rPr>
        <w:t xml:space="preserve"/>
      </w:r>
    </w:p>
    <w:p>
      <w:pPr>
        <w:pageBreakBefore/>
        <w:spacing w:after="200" w:before="400"/>
        <w:jc w:val="center"/>
      </w:pPr>
      <w:r>
        <w:rPr>
          <w:rFonts w:ascii="Times New Roman" w:cs="Times New Roman" w:eastAsia="Times New Roman" w:hAnsi="Times New Roman"/>
          <w:b/>
          <w:bCs/>
          <w:sz w:val="24"/>
          <w:szCs w:val="24"/>
          <w:u w:val="single"/>
        </w:rPr>
        <w:t xml:space="preserve">11. REFERENCIAS</w:t>
      </w:r>
    </w:p>
    <w:p>
      <w:pPr>
        <w:spacing w:after="120" w:line="276"/>
        <w:ind w:left="720" w:hanging="720"/>
        <w:jc w:val="both"/>
      </w:pPr>
      <w:r>
        <w:rPr>
          <w:rFonts w:ascii="Times New Roman" w:cs="Times New Roman" w:eastAsia="Times New Roman" w:hAnsi="Times New Roman"/>
          <w:sz w:val="24"/>
          <w:szCs w:val="24"/>
        </w:rPr>
        <w:t xml:space="preserve">Ali, M., Sayet, T., Gasser, A. y Blond, E. (2020). Transient thermo-mechanical analysis of steel ladle refractory linings using mechanical homogenization approach. Ceramics, 3(2), 171–189. https://doi.org/10.3390/ceramics3020016</w:t>
      </w:r>
    </w:p>
    <w:p>
      <w:pPr>
        <w:spacing w:after="120" w:line="276"/>
        <w:ind w:left="720" w:hanging="720"/>
        <w:jc w:val="both"/>
      </w:pPr>
      <w:r>
        <w:rPr>
          <w:rFonts w:ascii="Times New Roman" w:cs="Times New Roman" w:eastAsia="Times New Roman" w:hAnsi="Times New Roman"/>
          <w:sz w:val="24"/>
          <w:szCs w:val="24"/>
        </w:rPr>
        <w:t xml:space="preserve">ASTM International. ASTM C20. Standard Test Methods for Apparent Porosity, Water Absorption, Apparent Specific Gravity, and Bulk Density of Burned Refractory Brick and Shapes by Boiling Water. West Conshohocken, PA.</w:t>
      </w:r>
    </w:p>
    <w:p>
      <w:pPr>
        <w:spacing w:after="120" w:line="276"/>
        <w:ind w:left="720" w:hanging="720"/>
        <w:jc w:val="both"/>
      </w:pPr>
      <w:r>
        <w:rPr>
          <w:rFonts w:ascii="Times New Roman" w:cs="Times New Roman" w:eastAsia="Times New Roman" w:hAnsi="Times New Roman"/>
          <w:sz w:val="24"/>
          <w:szCs w:val="24"/>
        </w:rPr>
        <w:t xml:space="preserve">ASTM International. ASTM C71. Standard Terminology Relating to Refractories. West Conshohocken, PA.</w:t>
      </w:r>
    </w:p>
    <w:p>
      <w:pPr>
        <w:spacing w:after="120" w:line="276"/>
        <w:ind w:left="720" w:hanging="720"/>
        <w:jc w:val="both"/>
      </w:pPr>
      <w:r>
        <w:rPr>
          <w:rFonts w:ascii="Times New Roman" w:cs="Times New Roman" w:eastAsia="Times New Roman" w:hAnsi="Times New Roman"/>
          <w:sz w:val="24"/>
          <w:szCs w:val="24"/>
        </w:rPr>
        <w:t xml:space="preserve">ASTM International. ASTM C1113/C1113M. Standard Test Method for Thermal Conductivity of Refractories by Hot Wire (Platinum Resistance Thermometer Technique). West Conshohocken, PA.</w:t>
      </w:r>
    </w:p>
    <w:p>
      <w:pPr>
        <w:spacing w:after="120" w:line="276"/>
        <w:ind w:left="720" w:hanging="720"/>
        <w:jc w:val="both"/>
      </w:pPr>
      <w:r>
        <w:rPr>
          <w:rFonts w:ascii="Times New Roman" w:cs="Times New Roman" w:eastAsia="Times New Roman" w:hAnsi="Times New Roman"/>
          <w:sz w:val="24"/>
          <w:szCs w:val="24"/>
        </w:rPr>
        <w:t xml:space="preserve">ASTM International. ASTM C1171. Standard Test Method for Quantitatively Measuring the Effect of Thermal Shock and Thermal Cycling on Refractories. West Conshohocken, PA.</w:t>
      </w:r>
    </w:p>
    <w:p>
      <w:pPr>
        <w:spacing w:after="120" w:line="276"/>
        <w:ind w:left="720" w:hanging="720"/>
        <w:jc w:val="both"/>
      </w:pPr>
      <w:r>
        <w:rPr>
          <w:rFonts w:ascii="Times New Roman" w:cs="Times New Roman" w:eastAsia="Times New Roman" w:hAnsi="Times New Roman"/>
          <w:sz w:val="24"/>
          <w:szCs w:val="24"/>
        </w:rPr>
        <w:t xml:space="preserve">Austin, P. R., Camplin, J. M., Herbertson, J. y Taggart, I. J. (1992). Mathematical modelling of thermal stratification and drainage of steel ladles. ISIJ International, 32(2), 196–202. https://doi.org/10.2355/isijinternational.32.196</w:t>
      </w:r>
    </w:p>
    <w:p>
      <w:pPr>
        <w:spacing w:after="120" w:line="276"/>
        <w:ind w:left="720" w:hanging="720"/>
        <w:jc w:val="both"/>
      </w:pPr>
      <w:r>
        <w:rPr>
          <w:rFonts w:ascii="Times New Roman" w:cs="Times New Roman" w:eastAsia="Times New Roman" w:hAnsi="Times New Roman"/>
          <w:sz w:val="24"/>
          <w:szCs w:val="24"/>
        </w:rPr>
        <w:t xml:space="preserve">Campos, M. G. G., Santos, M. F., Moreira, M. H., Angélico, R. A., Sako, E. Y. y Pandolfelli, V. C. (2020). Holistic view of the insulating layer on the thermal efficiency of a steel ladle lining. International Journal of Ceramic Engineering &amp; Science, 2(3), 113–129. https://doi.org/10.1002/ces2.10043</w:t>
      </w:r>
    </w:p>
    <w:p>
      <w:pPr>
        <w:spacing w:after="120" w:line="276"/>
        <w:ind w:left="720" w:hanging="720"/>
        <w:jc w:val="both"/>
      </w:pPr>
      <w:r>
        <w:rPr>
          <w:rFonts w:ascii="Times New Roman" w:cs="Times New Roman" w:eastAsia="Times New Roman" w:hAnsi="Times New Roman"/>
          <w:sz w:val="24"/>
          <w:szCs w:val="24"/>
        </w:rPr>
        <w:t xml:space="preserve">Carslaw, H. S. y Jaeger, J. C. (1959). Conduction of Heat in Solids (2ª ed.). Oxford University Press.</w:t>
      </w:r>
    </w:p>
    <w:p>
      <w:pPr>
        <w:spacing w:after="120" w:line="276"/>
        <w:ind w:left="720" w:hanging="720"/>
        <w:jc w:val="both"/>
      </w:pPr>
      <w:r>
        <w:rPr>
          <w:rFonts w:ascii="Times New Roman" w:cs="Times New Roman" w:eastAsia="Times New Roman" w:hAnsi="Times New Roman"/>
          <w:sz w:val="24"/>
          <w:szCs w:val="24"/>
        </w:rPr>
        <w:t xml:space="preserve">Churchill, S. W. y Chu, H. H. S. (1975). Correlating equations for laminar and turbulent free convection from a vertical plate. International Journal of Heat and Mass Transfer, 18(11), 1323–1329. https://doi.org/10.1016/0017-9310(75)90243-4</w:t>
      </w:r>
    </w:p>
    <w:p>
      <w:pPr>
        <w:spacing w:after="120" w:line="276"/>
        <w:ind w:left="720" w:hanging="720"/>
        <w:jc w:val="both"/>
      </w:pPr>
      <w:r>
        <w:rPr>
          <w:rFonts w:ascii="Times New Roman" w:cs="Times New Roman" w:eastAsia="Times New Roman" w:hAnsi="Times New Roman"/>
          <w:sz w:val="24"/>
          <w:szCs w:val="24"/>
        </w:rPr>
        <w:t xml:space="preserve">Fredman, T. P. (2000a). Heat transfer in steelmaking ladle refractories and steel temperature: A literature review. Scandinavian Journal of Metallurgy, 29(6), 232–258. https://doi.org/10.1034/j.1600-0692.2000.d01-28.x</w:t>
      </w:r>
    </w:p>
    <w:p>
      <w:pPr>
        <w:spacing w:after="120" w:line="276"/>
        <w:ind w:left="720" w:hanging="720"/>
        <w:jc w:val="both"/>
      </w:pPr>
      <w:r>
        <w:rPr>
          <w:rFonts w:ascii="Times New Roman" w:cs="Times New Roman" w:eastAsia="Times New Roman" w:hAnsi="Times New Roman"/>
          <w:sz w:val="24"/>
          <w:szCs w:val="24"/>
        </w:rPr>
        <w:t xml:space="preserve">Fredman, T. P. (2000b). A model for rapid computation of dynamic heat conduction in steelmaking ladle linings. IFAC Proceedings Volumes, 33(22), 369–373. https://doi.org/10.1016/S1474-6670(17)37022-2</w:t>
      </w:r>
    </w:p>
    <w:p>
      <w:pPr>
        <w:spacing w:after="120" w:line="276"/>
        <w:ind w:left="720" w:hanging="720"/>
        <w:jc w:val="both"/>
      </w:pPr>
      <w:r>
        <w:rPr>
          <w:rFonts w:ascii="Times New Roman" w:cs="Times New Roman" w:eastAsia="Times New Roman" w:hAnsi="Times New Roman"/>
          <w:sz w:val="24"/>
          <w:szCs w:val="24"/>
        </w:rPr>
        <w:t xml:space="preserve">Fredman, T. P., Torrkulla, J. y Saxén, H. (1999). Two-dimensional dynamic simulation of the thermal state of ladles. Metallurgical and Materials Transactions B, 30(2), 323–330. https://doi.org/10.1007/s11663-999-0061-2</w:t>
      </w:r>
    </w:p>
    <w:p>
      <w:pPr>
        <w:spacing w:after="120" w:line="276"/>
        <w:ind w:left="720" w:hanging="720"/>
        <w:jc w:val="both"/>
      </w:pPr>
      <w:r>
        <w:rPr>
          <w:rFonts w:ascii="Times New Roman" w:cs="Times New Roman" w:eastAsia="Times New Roman" w:hAnsi="Times New Roman"/>
          <w:sz w:val="24"/>
          <w:szCs w:val="24"/>
        </w:rPr>
        <w:t xml:space="preserve">Fruehan, R. J. (Ed.) (1998). The Making, Shaping and Treating of Steel: Steelmaking and Refining Volume (11ª ed.). The AISE Steel Foundation, Pittsburgh.</w:t>
      </w:r>
    </w:p>
    <w:p>
      <w:pPr>
        <w:spacing w:after="120" w:line="276"/>
        <w:ind w:left="720" w:hanging="720"/>
        <w:jc w:val="both"/>
      </w:pPr>
      <w:r>
        <w:rPr>
          <w:rFonts w:ascii="Times New Roman" w:cs="Times New Roman" w:eastAsia="Times New Roman" w:hAnsi="Times New Roman"/>
          <w:sz w:val="24"/>
          <w:szCs w:val="24"/>
        </w:rPr>
        <w:t xml:space="preserve">Glaser, B., Görnerup, M. y Sichen, D. (2011). Thermal modelling of the ladle preheating process. Steel Research International, 82(12), 1425–1434. https://doi.org/10.1002/srin.201100198</w:t>
      </w:r>
    </w:p>
    <w:p>
      <w:pPr>
        <w:spacing w:after="120" w:line="276"/>
        <w:ind w:left="720" w:hanging="720"/>
        <w:jc w:val="both"/>
      </w:pPr>
      <w:r>
        <w:rPr>
          <w:rFonts w:ascii="Times New Roman" w:cs="Times New Roman" w:eastAsia="Times New Roman" w:hAnsi="Times New Roman"/>
          <w:sz w:val="24"/>
          <w:szCs w:val="24"/>
        </w:rPr>
        <w:t xml:space="preserve">Harbison-Walker Refractories Company (2005). Handbook of Refractory Practice. Moon Township, PA.</w:t>
      </w:r>
    </w:p>
    <w:p>
      <w:pPr>
        <w:spacing w:after="120" w:line="276"/>
        <w:ind w:left="720" w:hanging="720"/>
        <w:jc w:val="both"/>
      </w:pPr>
      <w:r>
        <w:rPr>
          <w:rFonts w:ascii="Times New Roman" w:cs="Times New Roman" w:eastAsia="Times New Roman" w:hAnsi="Times New Roman"/>
          <w:sz w:val="24"/>
          <w:szCs w:val="24"/>
        </w:rPr>
        <w:t xml:space="preserve">Hasselman, D. P. H. (1969). Unified theory of thermal shock fracture initiation and crack propagation in brittle ceramics. Journal of the American Ceramic Society, 52(11), 600–604. https://doi.org/10.1111/j.1151-2916.1969.tb15848.x</w:t>
      </w:r>
    </w:p>
    <w:p>
      <w:pPr>
        <w:spacing w:after="120" w:line="276"/>
        <w:ind w:left="720" w:hanging="720"/>
        <w:jc w:val="both"/>
      </w:pPr>
      <w:r>
        <w:rPr>
          <w:rFonts w:ascii="Times New Roman" w:cs="Times New Roman" w:eastAsia="Times New Roman" w:hAnsi="Times New Roman"/>
          <w:sz w:val="24"/>
          <w:szCs w:val="24"/>
        </w:rPr>
        <w:t xml:space="preserve">Incropera, F. P., DeWitt, D. P., Bergman, T. L. y Lavine, A. S. (2011). Fundamentals of Heat and Mass Transfer (7ª ed.). John Wiley &amp; Sons.</w:t>
      </w:r>
    </w:p>
    <w:p>
      <w:pPr>
        <w:spacing w:after="120" w:line="276"/>
        <w:ind w:left="720" w:hanging="720"/>
        <w:jc w:val="both"/>
      </w:pPr>
      <w:r>
        <w:rPr>
          <w:rFonts w:ascii="Times New Roman" w:cs="Times New Roman" w:eastAsia="Times New Roman" w:hAnsi="Times New Roman"/>
          <w:sz w:val="24"/>
          <w:szCs w:val="24"/>
        </w:rPr>
        <w:t xml:space="preserve">Kingery, W. D. (1955). Factors affecting thermal stress resistance of ceramic materials. Journal of the American Ceramic Society, 38(1), 3–15. https://doi.org/10.1111/j.1151-2916.1955.tb14545.x</w:t>
      </w:r>
    </w:p>
    <w:p>
      <w:pPr>
        <w:spacing w:after="120" w:line="276"/>
        <w:ind w:left="720" w:hanging="720"/>
        <w:jc w:val="both"/>
      </w:pPr>
      <w:r>
        <w:rPr>
          <w:rFonts w:ascii="Times New Roman" w:cs="Times New Roman" w:eastAsia="Times New Roman" w:hAnsi="Times New Roman"/>
          <w:sz w:val="24"/>
          <w:szCs w:val="24"/>
        </w:rPr>
        <w:t xml:space="preserve">Mäkelä, I., Visuri, V.-V. y Fabritius, T. (2023). A mathematical model for the thermal state of a steel ladle. Ironmaking &amp; Steelmaking, 50(7), 867–877. https://doi.org/10.1080/03019233.2023.2201544</w:t>
      </w:r>
    </w:p>
    <w:p>
      <w:pPr>
        <w:spacing w:after="120" w:line="276"/>
        <w:ind w:left="720" w:hanging="720"/>
        <w:jc w:val="both"/>
      </w:pPr>
      <w:r>
        <w:rPr>
          <w:rFonts w:ascii="Times New Roman" w:cs="Times New Roman" w:eastAsia="Times New Roman" w:hAnsi="Times New Roman"/>
          <w:sz w:val="24"/>
          <w:szCs w:val="24"/>
        </w:rPr>
        <w:t xml:space="preserve">Mazumdar, D. y Evans, J. W. (2010). Modeling of Steelmaking Processes. CRC Press.</w:t>
      </w:r>
    </w:p>
    <w:p>
      <w:pPr>
        <w:spacing w:after="120" w:line="276"/>
        <w:ind w:left="720" w:hanging="720"/>
        <w:jc w:val="both"/>
      </w:pPr>
      <w:r>
        <w:rPr>
          <w:rFonts w:ascii="Times New Roman" w:cs="Times New Roman" w:eastAsia="Times New Roman" w:hAnsi="Times New Roman"/>
          <w:sz w:val="24"/>
          <w:szCs w:val="24"/>
        </w:rPr>
        <w:t xml:space="preserve">Özışık, M. N., Orlande, H. R. B., Colaço, M. J. y Cotta, R. M. (2017). Finite Difference Methods in Heat Transfer (2ª ed.). CRC Press.</w:t>
      </w:r>
    </w:p>
    <w:p>
      <w:pPr>
        <w:spacing w:after="120" w:line="276"/>
        <w:ind w:left="720" w:hanging="720"/>
        <w:jc w:val="both"/>
      </w:pPr>
      <w:r>
        <w:rPr>
          <w:rFonts w:ascii="Times New Roman" w:cs="Times New Roman" w:eastAsia="Times New Roman" w:hAnsi="Times New Roman"/>
          <w:sz w:val="24"/>
          <w:szCs w:val="24"/>
        </w:rPr>
        <w:t xml:space="preserve">Patankar, S. V. (1980). Numerical Heat Transfer and Fluid Flow. Hemisphere Publishing.</w:t>
      </w:r>
    </w:p>
    <w:p>
      <w:pPr>
        <w:spacing w:after="120" w:line="276"/>
        <w:ind w:left="720" w:hanging="720"/>
        <w:jc w:val="both"/>
      </w:pPr>
      <w:r>
        <w:rPr>
          <w:rFonts w:ascii="Times New Roman" w:cs="Times New Roman" w:eastAsia="Times New Roman" w:hAnsi="Times New Roman"/>
          <w:sz w:val="24"/>
          <w:szCs w:val="24"/>
        </w:rPr>
        <w:t xml:space="preserve">Poirier, D. R. y Geiger, G. H. (2016). Transport Phenomena in Materials Processing (2ª ed.). Springer/TMS.</w:t>
      </w:r>
    </w:p>
    <w:p>
      <w:pPr>
        <w:spacing w:after="120" w:line="276"/>
        <w:ind w:left="720" w:hanging="720"/>
        <w:jc w:val="both"/>
      </w:pPr>
      <w:r>
        <w:rPr>
          <w:rFonts w:ascii="Times New Roman" w:cs="Times New Roman" w:eastAsia="Times New Roman" w:hAnsi="Times New Roman"/>
          <w:sz w:val="24"/>
          <w:szCs w:val="24"/>
        </w:rPr>
        <w:t xml:space="preserve">Santos, M. F., Moreira, M. H., Campos, M. G. G., Pelissari, P. I. B. G. B., Angélico, R. A., Sako, E. Y., Sinnema, S. y Pandolfelli, V. C. (2018). Enhanced numerical tool to evaluate steel ladle thermal losses. Ceramics International, 44(11), 12831–12840. https://doi.org/10.1016/j.ceramint.2018.04.092</w:t>
      </w:r>
    </w:p>
    <w:p>
      <w:pPr>
        <w:spacing w:after="120" w:line="276"/>
        <w:ind w:left="720" w:hanging="720"/>
        <w:jc w:val="both"/>
      </w:pPr>
      <w:r>
        <w:rPr>
          <w:rFonts w:ascii="Times New Roman" w:cs="Times New Roman" w:eastAsia="Times New Roman" w:hAnsi="Times New Roman"/>
          <w:sz w:val="24"/>
          <w:szCs w:val="24"/>
        </w:rPr>
        <w:t xml:space="preserve">Sarkar, R. (2016). Refractory Technology: Fundamentals and Applications. CRC Press.</w:t>
      </w:r>
    </w:p>
    <w:p>
      <w:pPr>
        <w:spacing w:after="120" w:line="276"/>
        <w:ind w:left="720" w:hanging="720"/>
        <w:jc w:val="both"/>
      </w:pPr>
      <w:r>
        <w:rPr>
          <w:rFonts w:ascii="Times New Roman" w:cs="Times New Roman" w:eastAsia="Times New Roman" w:hAnsi="Times New Roman"/>
          <w:sz w:val="24"/>
          <w:szCs w:val="24"/>
        </w:rPr>
        <w:t xml:space="preserve">Schacht, C. A. (Ed.) (2004). Refractories Handbook. Marcel Dekker.</w:t>
      </w:r>
    </w:p>
    <w:p>
      <w:pPr>
        <w:spacing w:after="120" w:line="276"/>
        <w:ind w:left="720" w:hanging="720"/>
        <w:jc w:val="both"/>
      </w:pPr>
      <w:r>
        <w:rPr>
          <w:rFonts w:ascii="Times New Roman" w:cs="Times New Roman" w:eastAsia="Times New Roman" w:hAnsi="Times New Roman"/>
          <w:sz w:val="24"/>
          <w:szCs w:val="24"/>
        </w:rPr>
        <w:t xml:space="preserve">Thomas, L. H. (1949). Elliptic Problems in Linear Difference Equations over a Network. Watson Scientific Computing Laboratory Report, Columbia University, Nueva York.</w:t>
      </w:r>
    </w:p>
    <w:p>
      <w:pPr>
        <w:spacing w:after="120" w:line="276"/>
        <w:ind w:left="720" w:hanging="720"/>
        <w:jc w:val="both"/>
      </w:pPr>
      <w:r>
        <w:rPr>
          <w:rFonts w:ascii="Times New Roman" w:cs="Times New Roman" w:eastAsia="Times New Roman" w:hAnsi="Times New Roman"/>
          <w:sz w:val="24"/>
          <w:szCs w:val="24"/>
        </w:rPr>
        <w:t xml:space="preserve">Volkova, O. y Janke, D. (2003). Modelling of temperature distribution in refractory ladle lining for steelmaking. ISIJ International, 43(8), 1185–1190. https://doi.org/10.2355/isijinternational.43.1185</w:t>
      </w:r>
    </w:p>
    <w:p>
      <w:pPr>
        <w:spacing w:after="120" w:line="276"/>
        <w:ind w:left="720" w:hanging="720"/>
        <w:jc w:val="both"/>
      </w:pPr>
      <w:r>
        <w:rPr>
          <w:rFonts w:ascii="Times New Roman" w:cs="Times New Roman" w:eastAsia="Times New Roman" w:hAnsi="Times New Roman"/>
          <w:sz w:val="24"/>
          <w:szCs w:val="24"/>
        </w:rPr>
        <w:t xml:space="preserve">Zimmer, A., Lima, Á. N. C., Trommer, R. M., Bragança, S. R. y Bergmann, C. P. (2008). Heat transfer in steelmaking ladle. Journal of Iron and Steel Research International, 15(3), 11–14. https://doi.org/10.1016/S1006-706X(08)60117-X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2026-08-18T13:55:46.946Z</dcterms:created>
  <dcterms:modified xsi:type="dcterms:W3CDTF">2026-08-18T13:55:46.946Z</dcterms:modified>
</cp:coreProperties>
</file>

<file path=docProps/custom.xml><?xml version="1.0" encoding="utf-8"?>
<Properties xmlns="http://schemas.openxmlformats.org/officeDocument/2006/custom-properties" xmlns:vt="http://schemas.openxmlformats.org/officeDocument/2006/docPropsVTypes"/>
</file>