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u w:val="single"/>
        </w:rPr>
        <w:t xml:space="preserve">REQUISITOS DE INFORMACIÓN Y ENFOQUE METODOLÓGICO PARA EL MODELO TÉRMICO TRANSITORIO UNIDIMENSIONAL DEL REVESTIMIENTO DE UNA OLLA DE ACERÍA</w:t>
      </w:r>
    </w:p>
    <w:p>
      <w:pPr>
        <w:spacing w:after="60"/>
        <w:jc w:val="center"/>
      </w:pPr>
      <w:r>
        <w:rPr>
          <w:rFonts w:ascii="Times New Roman" w:cs="Times New Roman" w:eastAsia="Times New Roman" w:hAnsi="Times New Roman"/>
          <w:sz w:val="24"/>
          <w:szCs w:val="24"/>
        </w:rPr>
        <w:t xml:space="preserve">Rodrigo — Ingeniería en Metalurgia y Fundición</w:t>
      </w:r>
    </w:p>
    <w:p>
      <w:pPr>
        <w:spacing w:after="240"/>
        <w:jc w:val="center"/>
      </w:pPr>
      <w:r>
        <w:rPr>
          <w:rFonts w:ascii="Times New Roman" w:cs="Times New Roman" w:eastAsia="Times New Roman" w:hAnsi="Times New Roman"/>
          <w:sz w:val="24"/>
          <w:szCs w:val="24"/>
        </w:rPr>
        <w:t xml:space="preserve">Instituto Tecnológico de Saltillo · 17 de agosto de 2026</w:t>
      </w:r>
    </w:p>
    <w:p>
      <w:pPr>
        <w:spacing w:after="200" w:before="360"/>
        <w:jc w:val="center"/>
      </w:pPr>
      <w:r>
        <w:rPr>
          <w:rFonts w:ascii="Times New Roman" w:cs="Times New Roman" w:eastAsia="Times New Roman" w:hAnsi="Times New Roman"/>
          <w:b/>
          <w:bCs/>
          <w:sz w:val="24"/>
          <w:szCs w:val="24"/>
          <w:u w:val="single"/>
        </w:rPr>
        <w:t xml:space="preserve">1. DEFINICIÓN DEL PROBLEMA Y ALCANCE DE LA PRIMERA VERSIÓN</w:t>
      </w:r>
    </w:p>
    <w:p>
      <w:pPr>
        <w:spacing w:after="120" w:line="276"/>
        <w:jc w:val="both"/>
      </w:pPr>
      <w:r>
        <w:rPr>
          <w:rFonts w:ascii="Times New Roman" w:cs="Times New Roman" w:eastAsia="Times New Roman" w:hAnsi="Times New Roman"/>
          <w:b w:val="false"/>
          <w:bCs w:val="false"/>
          <w:i w:val="false"/>
          <w:iCs w:val="false"/>
          <w:sz w:val="24"/>
          <w:szCs w:val="24"/>
        </w:rPr>
        <w:t xml:space="preserve">Se busca un modelo térmico transitorio unidimensional que entregue la temperatura en función del espesor acumulado del revestimiento, medido como la suma de los espesores de todas las capas, para una olla con la siguiente configuración: dos capas de ladrillo de trabajo, una capa de ladrillo de seguridad, una capa aislante y la coraza de acero. El modelo debe entregar el perfil en tres momentos del ciclo de colada continua: durante el transporte de acero líquido, al inicio del precalentamiento (olla ya vaciada, limpiada y enfriada) y al final del precalentamiento.</w:t>
      </w:r>
    </w:p>
    <w:p>
      <w:pPr>
        <w:spacing w:after="120" w:line="276"/>
        <w:jc w:val="both"/>
      </w:pPr>
      <w:r>
        <w:rPr>
          <w:rFonts w:ascii="Times New Roman" w:cs="Times New Roman" w:eastAsia="Times New Roman" w:hAnsi="Times New Roman"/>
          <w:b w:val="false"/>
          <w:bCs w:val="false"/>
          <w:i w:val="false"/>
          <w:iCs w:val="false"/>
          <w:sz w:val="24"/>
          <w:szCs w:val="24"/>
        </w:rPr>
        <w:t xml:space="preserve">El entregable operativo es la determinación del tiempo mínimo de precalentamiento necesario para que la cara caliente alcance aproximadamente 1100 °C, temperatura considerada segura para recibir acero líquido. La primera versión asume espesor constante; la pérdida de espesor por uso se incorpora en una segunda etapa, una vez que el modelo de espesor fijo reproduzca datos reales.</w:t>
      </w:r>
    </w:p>
    <w:p>
      <w:pPr>
        <w:spacing w:after="100" w:before="240"/>
        <w:jc w:val="left"/>
      </w:pPr>
      <w:r>
        <w:rPr>
          <w:rFonts w:ascii="Times New Roman" w:cs="Times New Roman" w:eastAsia="Times New Roman" w:hAnsi="Times New Roman"/>
          <w:b/>
          <w:bCs/>
          <w:sz w:val="24"/>
          <w:szCs w:val="24"/>
        </w:rPr>
        <w:t xml:space="preserve">1.1 Lectura de la figura de referencia</w:t>
      </w:r>
    </w:p>
    <w:p>
      <w:pPr>
        <w:spacing w:after="120" w:line="276"/>
        <w:jc w:val="both"/>
      </w:pPr>
      <w:r>
        <w:rPr>
          <w:rFonts w:ascii="Times New Roman" w:cs="Times New Roman" w:eastAsia="Times New Roman" w:hAnsi="Times New Roman"/>
          <w:b w:val="false"/>
          <w:bCs w:val="false"/>
          <w:i w:val="false"/>
          <w:iCs w:val="false"/>
          <w:sz w:val="24"/>
          <w:szCs w:val="24"/>
        </w:rPr>
        <w:t xml:space="preserve">La gráfica de referencia contiene un detalle que conviene señalar desde ahora porque será la mejor prueba cualitativa del modelo. En la curva del inicio del precalentamiento, el máximo de temperatura no está en la cara caliente sino en el interior del refractario, alrededor de 1100 °C a unos 0.15 m, mientras que la cara caliente ya bajó a unos 950 °C. Ese comportamiento es físicamente correcto: con la olla vacía, la cara caliente pierde calor por radiación al ambiente más rápido de lo que el interior alcanza a reponerlo por conducción, y el máximo migra hacia adentro.</w:t>
      </w:r>
    </w:p>
    <w:p>
      <w:pPr>
        <w:spacing w:after="120" w:line="276"/>
        <w:jc w:val="both"/>
      </w:pPr>
      <w:r>
        <w:rPr>
          <w:rFonts w:ascii="Times New Roman" w:cs="Times New Roman" w:eastAsia="Times New Roman" w:hAnsi="Times New Roman"/>
          <w:b w:val="false"/>
          <w:bCs w:val="false"/>
          <w:i w:val="false"/>
          <w:iCs w:val="false"/>
          <w:sz w:val="24"/>
          <w:szCs w:val="24"/>
        </w:rPr>
        <w:t xml:space="preserve">La consecuencia práctica es directa y toca el objetivo del proyecto: medir la cara caliente con pirómetro no dice en qué estado térmico está el revestimiento. Una olla puede mostrar 1100 °C en la superficie y tener la interfaz trabajo-seguridad todavía fría, que es exactamente la condición que produce enfriamiento del acero y apertura de juntas. Si el modelo no reproduce el máximo interior, algo está mal en la condición de frontera de la etapa de olla vacía.</w:t>
      </w:r>
    </w:p>
    <w:p>
      <w:pPr>
        <w:spacing w:after="200" w:before="360"/>
        <w:jc w:val="center"/>
      </w:pPr>
      <w:r>
        <w:rPr>
          <w:rFonts w:ascii="Times New Roman" w:cs="Times New Roman" w:eastAsia="Times New Roman" w:hAnsi="Times New Roman"/>
          <w:b/>
          <w:bCs/>
          <w:sz w:val="24"/>
          <w:szCs w:val="24"/>
          <w:u w:val="single"/>
        </w:rPr>
        <w:t xml:space="preserve">2. ¿ESTACIONARIO PRIMERO O DIRECTO AL TRANSITORIO?</w:t>
      </w:r>
    </w:p>
    <w:p>
      <w:pPr>
        <w:spacing w:after="120" w:line="276"/>
        <w:jc w:val="both"/>
      </w:pPr>
      <w:r>
        <w:rPr>
          <w:rFonts w:ascii="Times New Roman" w:cs="Times New Roman" w:eastAsia="Times New Roman" w:hAnsi="Times New Roman"/>
          <w:b w:val="false"/>
          <w:bCs w:val="false"/>
          <w:i w:val="false"/>
          <w:iCs w:val="false"/>
          <w:sz w:val="24"/>
          <w:szCs w:val="24"/>
        </w:rPr>
        <w:t xml:space="preserve">Conviene hacer el estacionario primero, pero no como una fase del proyecto ni como un resultado a entregar, sino como el caso de verificación del código transitorio. Es trabajo de dos o tres días, se puede resolver incluso en hoja de cálculo, y da tres cosas que no se consiguen de otra forma: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del código: </w:t>
      </w:r>
      <w:r>
        <w:rPr>
          <w:rFonts w:ascii="Times New Roman" w:cs="Times New Roman" w:eastAsia="Times New Roman" w:hAnsi="Times New Roman"/>
          <w:sz w:val="24"/>
          <w:szCs w:val="24"/>
        </w:rPr>
        <w:t xml:space="preserve">el problema estacionario multicapa en geometría cilíndrica tiene solución analítica cerrada. Si el modelo transitorio se corre con condiciones de frontera constantes durante un tiempo suficientemente largo, debe converger exactamente a ese perfil. Es la prueba que detecta errores en el tratamiento de las interfaces entre materiales, que es donde más se falla y donde el error no se nota a simple vista.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Condición inicial de arranque: </w:t>
      </w:r>
      <w:r>
        <w:rPr>
          <w:rFonts w:ascii="Times New Roman" w:cs="Times New Roman" w:eastAsia="Times New Roman" w:hAnsi="Times New Roman"/>
          <w:sz w:val="24"/>
          <w:szCs w:val="24"/>
        </w:rPr>
        <w:t xml:space="preserve">la primera corrida del ciclo necesita un perfil de partida. El estacionario con olla llena es el punto de partida convencional y evita arrancar de un perfil uniforme arbitrario.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Detección temprana de propiedades erróneas: </w:t>
      </w:r>
      <w:r>
        <w:rPr>
          <w:rFonts w:ascii="Times New Roman" w:cs="Times New Roman" w:eastAsia="Times New Roman" w:hAnsi="Times New Roman"/>
          <w:sz w:val="24"/>
          <w:szCs w:val="24"/>
        </w:rPr>
        <w:t xml:space="preserve">si el estacionario arroja una coraza a 600 °C o a 80 °C, hay un error en las conductividades o en los coeficientes de película, y se descubre antes de invertir semanas programando el transitorio. Con un perfil transitorio no se puede hacer ese juicio porque no hay contra qué compararlo.</w:t>
      </w:r>
    </w:p>
    <w:p>
      <w:pPr>
        <w:spacing w:after="120" w:line="276"/>
        <w:jc w:val="both"/>
      </w:pPr>
      <w:r>
        <w:rPr>
          <w:rFonts w:ascii="Times New Roman" w:cs="Times New Roman" w:eastAsia="Times New Roman" w:hAnsi="Times New Roman"/>
          <w:b w:val="false"/>
          <w:bCs w:val="false"/>
          <w:i w:val="false"/>
          <w:iCs w:val="false"/>
          <w:sz w:val="24"/>
          <w:szCs w:val="24"/>
        </w:rPr>
        <w:t xml:space="preserve">Lo que no debe hacerse es presentar el estacionario como un resultado del proceso, porque la olla nunca lo alcanza en operación real. Con valores típicos de refractario (k ≈ 2 W·m⁻¹·K⁻¹, ρ ≈ 2800 kg·m⁻³, cp ≈ 1000 J·kg⁻¹·K⁻¹) la difusividad es α ≈ 7×10⁻⁷ m²·s⁻¹, y el tiempo característico de conducción a través de 0.22 m es:</w:t>
      </w:r>
    </w:p>
    <w:p>
      <w:pPr>
        <w:spacing w:after="120" w:before="120"/>
        <w:jc w:val="center"/>
      </w:pPr>
      <w:r>
        <w:rPr>
          <w:rFonts w:ascii="Times New Roman" w:cs="Times New Roman" w:eastAsia="Times New Roman" w:hAnsi="Times New Roman"/>
          <w:i/>
          <w:iCs/>
          <w:sz w:val="24"/>
          <w:szCs w:val="24"/>
        </w:rPr>
        <w:t xml:space="preserve">τ ≈ L²/α = (0.22 m)² / 7×10⁻⁷ m²·s⁻¹ ≈ 6.9×10⁴ s ≈ 19 h</w:t>
      </w:r>
    </w:p>
    <w:p>
      <w:pPr>
        <w:spacing w:after="120" w:line="276"/>
        <w:jc w:val="both"/>
      </w:pPr>
      <w:r>
        <w:rPr>
          <w:rFonts w:ascii="Times New Roman" w:cs="Times New Roman" w:eastAsia="Times New Roman" w:hAnsi="Times New Roman"/>
          <w:b w:val="false"/>
          <w:bCs w:val="false"/>
          <w:i w:val="false"/>
          <w:iCs w:val="false"/>
          <w:sz w:val="24"/>
          <w:szCs w:val="24"/>
        </w:rPr>
        <w:t xml:space="preserve">Ninguna etapa del ciclo dura más de una o dos horas, de modo que el revestimiento vive permanentemente en régimen transitorio. El estacionario es una herramienta de verificación y una cota superior del perfil, no un estado físico del proceso. En la figura de referencia aparece con ese mismo carácter: como envolvente contra la cual se comparan las curvas reales.</w:t>
      </w:r>
    </w:p>
    <w:p>
      <w:pPr>
        <w:spacing w:after="200" w:before="360"/>
        <w:jc w:val="center"/>
      </w:pPr>
      <w:r>
        <w:rPr>
          <w:rFonts w:ascii="Times New Roman" w:cs="Times New Roman" w:eastAsia="Times New Roman" w:hAnsi="Times New Roman"/>
          <w:b/>
          <w:bCs/>
          <w:sz w:val="24"/>
          <w:szCs w:val="24"/>
          <w:u w:val="single"/>
        </w:rPr>
        <w:t xml:space="preserve">3. INFORMACIÓN REQUERIDA PARA INICIAR EL DESARROLLO</w:t>
      </w:r>
    </w:p>
    <w:p>
      <w:pPr>
        <w:spacing w:after="120" w:line="276"/>
        <w:jc w:val="both"/>
      </w:pPr>
      <w:r>
        <w:rPr>
          <w:rFonts w:ascii="Times New Roman" w:cs="Times New Roman" w:eastAsia="Times New Roman" w:hAnsi="Times New Roman"/>
          <w:b w:val="false"/>
          <w:bCs w:val="false"/>
          <w:i w:val="false"/>
          <w:iCs w:val="false"/>
          <w:sz w:val="24"/>
          <w:szCs w:val="24"/>
        </w:rPr>
        <w:t xml:space="preserve">Las tablas siguientes reúnen todo lo que hay que reunir antes de que el modelo pueda producir un número defendible. La plantilla de Excel que acompaña a este documento reproduce estas mismas tablas en formato de captura, con una hoja adicional que resuelve el caso estacionario en cuanto se llenen la geometría y las conductividades.</w:t>
      </w:r>
    </w:p>
    <w:p>
      <w:pPr>
        <w:spacing w:after="100" w:before="240"/>
        <w:jc w:val="left"/>
      </w:pPr>
      <w:r>
        <w:rPr>
          <w:rFonts w:ascii="Times New Roman" w:cs="Times New Roman" w:eastAsia="Times New Roman" w:hAnsi="Times New Roman"/>
          <w:b/>
          <w:bCs/>
          <w:sz w:val="24"/>
          <w:szCs w:val="24"/>
        </w:rPr>
        <w:t xml:space="preserve">3.1 Geometría y configuración del revestimiento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Dato</w:t>
            </w:r>
          </w:p>
        </w:tc>
        <w:tc>
          <w:tcPr>
            <w:tcW w:type="pct" w:w="15%"/>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 / unidad</w:t>
            </w:r>
          </w:p>
        </w:tc>
        <w:tc>
          <w:tcPr>
            <w:tcW w:type="pct" w:w="41%"/>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Por qué se necesita</w:t>
            </w:r>
          </w:p>
        </w:tc>
        <w:tc>
          <w:tcPr>
            <w:tcW w:type="pct" w:w="1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Fuente</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Radio o diámetro interior en la cara caliente</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r₁ (m)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Define la curvatura. Con e/r₁ del orden de 0.2, el área de paso crece cerca de 20 % del interior al exterior y la formulación plana subestima el flujo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la olla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Altura útil y nivel de acero</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 (m)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Área mojada y momento en que el nivel pasa por la zona modelada durante la colada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y operación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Capacidad nominal y masa de acero por colada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 (t)</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Balance de energía del baño y estimación de la caída de temperatura del acero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Operación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trabajo 1 (cara caliente)</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e₁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Resistencia térmica y malla; es la capa que gobierna el choque térmico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revestimiento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trabajo 2</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e₂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Ídem; verificar si es otra calidad o el mismo material en dos hiladas</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revestimiento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de seguridad</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e₃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Reserva térmica y mecánica; su temperatura es un buen indicador de olla precalentada</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revestimiento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capa aislante</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e₄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Controla la temperatura de coraza y buena parte de la inercia del conjunto</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revestimiento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de la coraza de acero</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e₅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Inercia y condición de frontera exterior</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mecánico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Tipo y espesor de junta (mortero o junta seca)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e_j (mm)</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Resistencia térmica de contacto y, más adelante, análisis de apertura de juntas</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Procedimiento de instalación</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Zona de la olla que se modela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El 1D radial es válido en la pared a media altura; fondo, esquina y línea de escoria requieren tratamiento aparte</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Decisión del proyecto</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Diferencias de calidad o espesor entre pared y línea de escoria</w:t>
            </w:r>
          </w:p>
        </w:tc>
        <w:tc>
          <w:tcPr>
            <w:tcW w:type="pct" w:w="15%"/>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41%"/>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Determina si hacen falta dos modelos 1D independientes</w:t>
            </w:r>
          </w:p>
        </w:tc>
        <w:tc>
          <w:tcPr>
            <w:tcW w:type="pct" w:w="1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Plano de revestimiento</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3.2 Propiedades termofísicas, por cada una de las cinco capas</w:t>
      </w:r>
    </w:p>
    <w:p>
      <w:pPr>
        <w:spacing w:after="120" w:line="276"/>
        <w:jc w:val="both"/>
      </w:pPr>
      <w:r>
        <w:rPr>
          <w:rFonts w:ascii="Times New Roman" w:cs="Times New Roman" w:eastAsia="Times New Roman" w:hAnsi="Times New Roman"/>
          <w:b w:val="false"/>
          <w:bCs w:val="false"/>
          <w:i w:val="false"/>
          <w:iCs w:val="false"/>
          <w:sz w:val="24"/>
          <w:szCs w:val="24"/>
        </w:rPr>
        <w:t xml:space="preserve">Esta es la información que más tiempo toma conseguir y la que más determina el resultado. Con acceso parcial a datos, conviene solicitar formalmente al proveedor del revestimiento la ficha técnica completa de cada calidad instalada, indicando que se requieren propiedades en función de la temperatura y no un valor único a temperatura ambiente.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tblGrid>
      <w:tr>
        <w:trPr>
          <w:tblHeader/>
        </w:trPr>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Propiedad</w:t>
            </w:r>
          </w:p>
        </w:tc>
        <w:tc>
          <w:tcPr>
            <w:tcW w:type="pct" w:w="1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 (unidad)</w:t>
            </w:r>
          </w:p>
        </w:tc>
        <w:tc>
          <w:tcPr>
            <w:tcW w:type="pct" w:w="37%"/>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Nivel mínimo aceptable</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Cómo conseguirla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Denominación comercial y familia del material</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Nombre y calidad (por ejemplo MgO-C 14 % C, alta alúmina 80 %, andalucita, silicato de calcio)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área de compras o de refractarios</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térmica</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k(T) (W·m⁻¹·K⁻¹)</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Al menos tres puntos: 400, 800 y 1200 °C. Si solo hay un valor, registrar a qué temperatura fue medido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ASTM C1113; manuales</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Densidad aparente</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ρ (kg·m⁻³)</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 por capa</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ASTM C20</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Calor específico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cp(T) (J·kg⁻¹·K⁻¹)</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Un valor medio por capa como mínimo; idealmente dos o tres puntos</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ASTM E1269; literatura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Porosidad aparente</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 (%)</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Deseable; permite estimar k por correlación si falta el dato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ASTM C20</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de la cara caliente</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ε_int (–)</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Deseable; el rango típico de refractarios es 0.7 a 0.9</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Literatura; termografía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de la superficie exterior de la coraza</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ε_ext (–)</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Necesaria; cambia mucho entre acero pintado, oxidado o con salpicadura</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Termografía; literatura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máxima de servicio</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T_máx (°C)</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Verificación de coherencia del resultado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expansión térmica</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α_t (K⁻¹)</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para la etapa de análisis de juntas</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Módulo de Young, Poisson y módulo de ruptura</w:t>
            </w:r>
          </w:p>
        </w:tc>
        <w:tc>
          <w:tcPr>
            <w:tcW w:type="pct" w:w="1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 ν, MOR</w:t>
            </w:r>
          </w:p>
        </w:tc>
        <w:tc>
          <w:tcPr>
            <w:tcW w:type="pct" w:w="37%"/>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para el criterio de choque térmico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Ficha técnica; solicitud expresa al proveedor</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3.3 Ciclo de operación</w:t>
      </w:r>
    </w:p>
    <w:p>
      <w:pPr>
        <w:spacing w:after="120" w:line="276"/>
        <w:jc w:val="both"/>
      </w:pPr>
      <w:r>
        <w:rPr>
          <w:rFonts w:ascii="Times New Roman" w:cs="Times New Roman" w:eastAsia="Times New Roman" w:hAnsi="Times New Roman"/>
          <w:b w:val="false"/>
          <w:bCs w:val="false"/>
          <w:i w:val="false"/>
          <w:iCs w:val="false"/>
          <w:sz w:val="24"/>
          <w:szCs w:val="24"/>
        </w:rPr>
        <w:t xml:space="preserve">Es la información más escasa y, junto con las propiedades del aislante, la que más afecta al resultado. Para cada etapa hace falta la duración típica y su dispersión (mínimo, media y máximo observados), porque el tiempo que la olla pasa vacía es lo que determina el estado térmico inicial del precalentamiento y, por lo tanto, todo el entregable.</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Etapa del ciclo</w:t>
            </w:r>
          </w:p>
        </w:tc>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Qué hay que registrar</w:t>
            </w:r>
          </w:p>
        </w:tc>
        <w:tc>
          <w:tcPr>
            <w:tcW w:type="pct" w:w="3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Condición de frontera en la cara caliente</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Precalentamiento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tipo de precalentador (tapa vertical u horizontal), potencia o consumo de gas, temperatura de gases, curva de rampa programada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de llama y gases más convección forzada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Espera después del precalentamiento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si la olla permanece tapada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al entorno y convección natural</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Sangrado o llenado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temperatura del acero al inicio del llenado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Contacto súbito con acero líquido; transitorio severo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 Transporte de acero líquido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si va tapada, altura de nivel</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 desde el baño; pérdida por superficie libre y escoria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Tratamiento en horno cuchara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presencia de arco, caudal de agitación con argón, tratamiento al vacío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 desde el baño, con h mayor cuando hay agitación</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 Espera antes de la colada continua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y su dispersión</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Convección desde el baño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 Colada continua (vaciado)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total y velocidad de descenso del nivel</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 de baño a aire en el instante en que el nivel pasa por la altura modelada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 Volteo, desescoriado y limpieza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si se retira costra o escoria adherida</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al ambiente con la olla invertida o vacía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 Enfriamiento de la olla vacía</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y su dispersión — dato crítico del proyecto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y convección natural; aquí aparece el máximo interior</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 Regreso al precalentador</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Duración del traslado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y convección natural</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Datos globales del ciclo</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Coladas por olla y por día; ollas en rotación; frecuencia y duración de paros que dejan enfriar la olla por completo</w:t>
            </w:r>
          </w:p>
        </w:tc>
        <w:tc>
          <w:tcPr>
            <w:tcW w:type="pct" w:w="3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3.4 Condiciones de frontera y del entorno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Dato</w:t>
            </w:r>
          </w:p>
        </w:tc>
        <w:tc>
          <w:tcPr>
            <w:tcW w:type="pct" w:w="2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Símbolo (unidad)</w:t>
            </w:r>
          </w:p>
        </w:tc>
        <w:tc>
          <w:tcPr>
            <w:tcW w:type="pct" w:w="4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Observación</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 al sangrado, al llegar al horno cuchara, al final del tratamiento y en el distribuidor</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T_acero (°C)</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Define la frontera interior en todas las etapas con acero y permite validar el balance</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transferencia baño-refractario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h_int (W·m⁻²·K⁻¹)</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Rango típico de 200 a 2000 según la agitación; puede tratarse como parámetro de ajuste o suponer temperatura impuesta</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ambiente de la nave</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T_∞ (°C)</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Medición directa; distinguir verano e invierno si la diferencia es apreciable</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de convección natural exterior</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h_ext (W·m⁻²·K⁻¹)</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 calcula por correlación de cilindro vertical; el rango habitual es 5 a 15</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gases del quemador y potencia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T_g (°C), Q (kW o m³·h⁻¹)</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Frontera de la etapa de precalentamiento; es el dato que más falta en la práctica</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efectiva de la llama y del recinto durante el precalentamiento</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ε_ef (–)</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Determina la fracción radiativa; empezar con valores de literatura y ajustar</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Etapas en que la olla se mantiene tapada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Cambia por completo la pérdida por la boca y el enfriamiento de la cara caliente</w:t>
            </w:r>
          </w:p>
        </w:tc>
      </w:tr>
      <w:tr>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 y temperatura de la capa de escoria</w:t>
            </w:r>
          </w:p>
        </w:tc>
        <w:tc>
          <w:tcPr>
            <w:tcW w:type="pct" w:w="2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e_esc (mm), T_esc (°C)</w:t>
            </w:r>
          </w:p>
        </w:tc>
        <w:tc>
          <w:tcPr>
            <w:tcW w:type="pct" w:w="4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Relevante para la línea de escoria y para la pérdida por la superficie libre</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3.5 Mediciones necesarias para la validación</w:t>
      </w:r>
    </w:p>
    <w:p>
      <w:pPr>
        <w:spacing w:after="120" w:line="276"/>
        <w:jc w:val="both"/>
      </w:pPr>
      <w:r>
        <w:rPr>
          <w:rFonts w:ascii="Times New Roman" w:cs="Times New Roman" w:eastAsia="Times New Roman" w:hAnsi="Times New Roman"/>
          <w:b w:val="false"/>
          <w:bCs w:val="false"/>
          <w:i w:val="false"/>
          <w:iCs w:val="false"/>
          <w:sz w:val="24"/>
          <w:szCs w:val="24"/>
        </w:rPr>
        <w:t xml:space="preserve">Sin al menos una colada instrumentada, el modelo queda como ejercicio de cálculo. Lo mínimo indispensable es la temperatura de coraza sincronizada con los tiempos reales del ciclo.</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Medición</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Instrumento</w:t>
            </w:r>
          </w:p>
        </w:tc>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Para qué sirve</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coraza en dos o tres alturas, en cuatro momentos del ciclo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Termografía o termopar de contacto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Variable principal de validación; es la salida del modelo más fácil de medir</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cara caliente al salir del precalentador</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Pirómetro óptico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Valida directamente el entregable del proyecto</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 cara caliente inmediatamente antes del sangrado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Pirómetro óptico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Cuantifica cuánto se enfría la olla entre el precalentador y el llenado</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del acero en tres puntos del proceso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Termopar de inmersión</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Valida el balance de energía y la pérdida térmica del baño</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Tiempos reales de la colada instrumentada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Registro cronometrado</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Sin esto, ninguna comparación es concluyente</w:t>
            </w:r>
          </w:p>
        </w:tc>
      </w:tr>
      <w:tr>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Consumo de gas del precalentador</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Medidor de flujo o registro de planta</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Cierra el balance de energía del precalentamiento y acota la potencia efectiva</w:t>
            </w:r>
          </w:p>
        </w:tc>
      </w:tr>
    </w:tbl>
    <w:p>
      <w:pPr>
        <w:spacing w:after="120"/>
      </w:pPr>
      <w:r>
        <w:rPr>
          <w:rFonts w:ascii="Times New Roman" w:cs="Times New Roman" w:eastAsia="Times New Roman" w:hAnsi="Times New Roman"/>
          <w:sz w:val="24"/>
          <w:szCs w:val="24"/>
        </w:rPr>
        <w:t xml:space="preserve"/>
      </w:r>
    </w:p>
    <w:p>
      <w:pPr>
        <w:spacing w:after="100" w:before="240"/>
        <w:jc w:val="left"/>
      </w:pPr>
      <w:r>
        <w:rPr>
          <w:rFonts w:ascii="Times New Roman" w:cs="Times New Roman" w:eastAsia="Times New Roman" w:hAnsi="Times New Roman"/>
          <w:b/>
          <w:bCs/>
          <w:sz w:val="24"/>
          <w:szCs w:val="24"/>
        </w:rPr>
        <w:t xml:space="preserve">3.6 Información para la segunda etapa (incorporación del desgaste)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Espesor residual contra número de coladas: </w:t>
      </w:r>
      <w:r>
        <w:rPr>
          <w:rFonts w:ascii="Times New Roman" w:cs="Times New Roman" w:eastAsia="Times New Roman" w:hAnsi="Times New Roman"/>
          <w:sz w:val="24"/>
          <w:szCs w:val="24"/>
        </w:rPr>
        <w:t xml:space="preserve">medición de perfil por escaneo láser o medición manual en paro; es lo que permite escribir e₁(n) y recalcular la malla por número de colada.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Duración de campaña y criterio de retiro: </w:t>
      </w:r>
      <w:r>
        <w:rPr>
          <w:rFonts w:ascii="Times New Roman" w:cs="Times New Roman" w:eastAsia="Times New Roman" w:hAnsi="Times New Roman"/>
          <w:sz w:val="24"/>
          <w:szCs w:val="24"/>
        </w:rPr>
        <w:t xml:space="preserve">número de coladas por campaña y espesor mínimo admisible; enlaza este modelo con el trabajo previo de predicción de vida de ollas.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Reparaciones intermedias: </w:t>
      </w:r>
      <w:r>
        <w:rPr>
          <w:rFonts w:ascii="Times New Roman" w:cs="Times New Roman" w:eastAsia="Times New Roman" w:hAnsi="Times New Roman"/>
          <w:sz w:val="24"/>
          <w:szCs w:val="24"/>
        </w:rPr>
        <w:t xml:space="preserve">gunitado o reposición parcial, con su espesor y el momento en que se aplican, porque alteran la secuencia de espesores.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Zonas de mayor desgaste: </w:t>
      </w:r>
      <w:r>
        <w:rPr>
          <w:rFonts w:ascii="Times New Roman" w:cs="Times New Roman" w:eastAsia="Times New Roman" w:hAnsi="Times New Roman"/>
          <w:sz w:val="24"/>
          <w:szCs w:val="24"/>
        </w:rPr>
        <w:t xml:space="preserve">para decidir si el modelo de pared basta o si hay que resolver también la línea de escoria.</w:t>
      </w:r>
    </w:p>
    <w:p>
      <w:pPr>
        <w:spacing w:after="100" w:before="240"/>
        <w:jc w:val="left"/>
      </w:pPr>
      <w:r>
        <w:rPr>
          <w:rFonts w:ascii="Times New Roman" w:cs="Times New Roman" w:eastAsia="Times New Roman" w:hAnsi="Times New Roman"/>
          <w:b/>
          <w:bCs/>
          <w:sz w:val="24"/>
          <w:szCs w:val="24"/>
        </w:rPr>
        <w:t xml:space="preserve">3.7 Valores típicos para arrancar mientras se consiguen los datos</w:t>
      </w:r>
    </w:p>
    <w:p>
      <w:pPr>
        <w:spacing w:after="120" w:line="276"/>
        <w:jc w:val="both"/>
      </w:pPr>
      <w:r>
        <w:rPr>
          <w:rFonts w:ascii="Times New Roman" w:cs="Times New Roman" w:eastAsia="Times New Roman" w:hAnsi="Times New Roman"/>
          <w:b w:val="false"/>
          <w:bCs w:val="false"/>
          <w:i w:val="false"/>
          <w:iCs w:val="false"/>
          <w:sz w:val="24"/>
          <w:szCs w:val="24"/>
        </w:rPr>
        <w:t xml:space="preserve">Los siguientes rangos permiten programar y depurar el modelo sin esperar a las fichas técnicas. Son órdenes de magnitud de literatura y deben marcarse como provisionales dentro del código, en una tabla de propiedades separada del cálculo, para poder sustituirlos por el dato real sin tocar el resto del programa. No deben usarse para producir el entregable final.</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rPr>
          <w:tblHeader/>
        </w:trPr>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Capa / material</w:t>
            </w:r>
          </w:p>
        </w:tc>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k (W·m⁻¹·K⁻¹)</w:t>
            </w:r>
          </w:p>
        </w:tc>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ρ (kg·m⁻³)</w:t>
            </w:r>
          </w:p>
        </w:tc>
        <w:tc>
          <w:tcPr>
            <w:tcW w:type="pct" w:w="1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cp (J·kg⁻¹·K⁻¹)</w:t>
            </w:r>
          </w:p>
        </w:tc>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Nota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Ladrillo MgO-C (10–14 % C)</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 8–12 a 200 °C; baja a ≈ 4–7 a 1200 °C</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2900–3050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850–1100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 conductividad disminuye con la temperatura por el grafito; es la única capa donde k baja al calentar</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Ladrillo de alta alúmina (70–85 %)</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1.8–2.5</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2600–2900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900–1100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Aumenta ligeramente con la temperatura</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Ladrillo de seguridad (andalucita o bauxita)</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1.2–1.8</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2300–2600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900–1050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Verificar si es ladrillo aislante de mayor porosidad</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Placa aislante (silicato de calcio o fibra)</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0.10–0.25</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250–450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900–1000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Fuertemente dependiente de la temperatura y de la densidad; el dato más crítico y el peor documentado</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Aislante microporoso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0.03–0.06</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300–400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900–1000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si el diseño lo incluye</w:t>
            </w:r>
          </w:p>
        </w:tc>
      </w:tr>
      <w:tr>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Coraza de acero al carbono</w:t>
            </w:r>
          </w:p>
        </w:tc>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45 a 20 °C; ≈ 30 a 500 °C</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7850</w:t>
            </w:r>
          </w:p>
        </w:tc>
        <w:tc>
          <w:tcPr>
            <w:tcW w:type="pct" w:w="1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480–600</w:t>
            </w:r>
          </w:p>
        </w:tc>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exterior de 0.75 a 0.85 con óxido; hasta 0.9 pintada</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4. ENFOQUE METODOLÓGICO</w:t>
      </w:r>
    </w:p>
    <w:p>
      <w:pPr>
        <w:spacing w:after="120" w:line="276"/>
        <w:jc w:val="both"/>
      </w:pPr>
      <w:r>
        <w:rPr>
          <w:rFonts w:ascii="Times New Roman" w:cs="Times New Roman" w:eastAsia="Times New Roman" w:hAnsi="Times New Roman"/>
          <w:b w:val="false"/>
          <w:bCs w:val="false"/>
          <w:i w:val="false"/>
          <w:iCs w:val="false"/>
          <w:sz w:val="24"/>
          <w:szCs w:val="24"/>
        </w:rPr>
        <w:t xml:space="preserve">El desarrollo se plantea en siete fases, cada una con un producto verificable. El orden no es negociable en un punto: no se pasa a la fase siguiente sin que la anterior tenga su criterio de aceptación cumplido, porque un error de discretización arrastrado hasta la fase de calibración se confunde con un error de propiedades y ya no se puede separar.</w:t>
      </w:r>
    </w:p>
    <w:p>
      <w:pPr>
        <w:spacing w:after="100" w:before="240"/>
        <w:jc w:val="left"/>
      </w:pPr>
      <w:r>
        <w:rPr>
          <w:rFonts w:ascii="Times New Roman" w:cs="Times New Roman" w:eastAsia="Times New Roman" w:hAnsi="Times New Roman"/>
          <w:b/>
          <w:bCs/>
          <w:sz w:val="24"/>
          <w:szCs w:val="24"/>
        </w:rPr>
        <w:t xml:space="preserve">Fase 0. Definición del sistema y convenios (2 a 3 días)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Actividades: </w:t>
      </w:r>
      <w:r>
        <w:rPr>
          <w:rFonts w:ascii="Times New Roman" w:cs="Times New Roman" w:eastAsia="Times New Roman" w:hAnsi="Times New Roman"/>
          <w:sz w:val="24"/>
          <w:szCs w:val="24"/>
        </w:rPr>
        <w:t xml:space="preserve">fijar la zona modelada (pared a media altura como caso base), el origen y el sentido del eje de espesor, y la geometría. Se recomienda conservar el convenio de la figura de referencia, con el espesor acumulado creciendo desde la cara fría hacia la cara caliente, para poder comparar directamente. Definir también la nomenclatura de capas y el formato de la tabla de propiedades.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Decisión de geometría: </w:t>
      </w:r>
      <w:r>
        <w:rPr>
          <w:rFonts w:ascii="Times New Roman" w:cs="Times New Roman" w:eastAsia="Times New Roman" w:hAnsi="Times New Roman"/>
          <w:sz w:val="24"/>
          <w:szCs w:val="24"/>
        </w:rPr>
        <w:t xml:space="preserve">con radio interior del orden de 1.3 m y espesor total de 0.22 a 0.25 m, la relación e/r₁ ronda 0.2 y el área de paso crece cerca de 20 % del interior al exterior. Conviene resolver en coordenadas cilíndricas: el costo de programación es prácticamente nulo y evita un sesgo sistemático.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w:t>
      </w:r>
      <w:r>
        <w:rPr>
          <w:rFonts w:ascii="Times New Roman" w:cs="Times New Roman" w:eastAsia="Times New Roman" w:hAnsi="Times New Roman"/>
          <w:sz w:val="24"/>
          <w:szCs w:val="24"/>
        </w:rPr>
        <w:t xml:space="preserve">documento de una página con la definición del sistema, el esquema de capas acotado y la lista de suposiciones declaradas.</w:t>
      </w:r>
    </w:p>
    <w:p>
      <w:pPr>
        <w:spacing w:after="100" w:before="240"/>
        <w:jc w:val="left"/>
      </w:pPr>
      <w:r>
        <w:rPr>
          <w:rFonts w:ascii="Times New Roman" w:cs="Times New Roman" w:eastAsia="Times New Roman" w:hAnsi="Times New Roman"/>
          <w:b/>
          <w:bCs/>
          <w:sz w:val="24"/>
          <w:szCs w:val="24"/>
        </w:rPr>
        <w:t xml:space="preserve">Fase 1. Modelo estacionario (3 días)</w:t>
      </w:r>
    </w:p>
    <w:p>
      <w:pPr>
        <w:spacing w:after="120" w:line="276"/>
        <w:jc w:val="both"/>
      </w:pPr>
      <w:r>
        <w:rPr>
          <w:rFonts w:ascii="Times New Roman" w:cs="Times New Roman" w:eastAsia="Times New Roman" w:hAnsi="Times New Roman"/>
          <w:b w:val="false"/>
          <w:bCs w:val="false"/>
          <w:i w:val="false"/>
          <w:iCs w:val="false"/>
          <w:sz w:val="24"/>
          <w:szCs w:val="24"/>
        </w:rPr>
        <w:t xml:space="preserve">Solución analítica de la pared cilíndrica multicapa. Por unidad de altura, el flujo es:</w:t>
      </w:r>
    </w:p>
    <w:p>
      <w:pPr>
        <w:spacing w:after="120" w:before="120"/>
        <w:jc w:val="center"/>
      </w:pPr>
      <w:r>
        <w:rPr>
          <w:rFonts w:ascii="Times New Roman" w:cs="Times New Roman" w:eastAsia="Times New Roman" w:hAnsi="Times New Roman"/>
          <w:i/>
          <w:iCs/>
          <w:sz w:val="24"/>
          <w:szCs w:val="24"/>
        </w:rPr>
        <w:t xml:space="preserve">q′ = (T_acero − T_∞) / [ 1/(2π r₁ h_int) + Σᵢ ln(rᵢ₊₁/rᵢ)/(2π kᵢ) + Σᵢ R″c,ᵢ/(2π rᵢ) + 1/(2π r_ext h_ext) ]</w:t>
      </w:r>
    </w:p>
    <w:p>
      <w:pPr>
        <w:spacing w:after="120" w:line="276"/>
        <w:jc w:val="both"/>
      </w:pPr>
      <w:r>
        <w:rPr>
          <w:rFonts w:ascii="Times New Roman" w:cs="Times New Roman" w:eastAsia="Times New Roman" w:hAnsi="Times New Roman"/>
          <w:b w:val="false"/>
          <w:bCs w:val="false"/>
          <w:i w:val="false"/>
          <w:iCs w:val="false"/>
          <w:sz w:val="24"/>
          <w:szCs w:val="24"/>
        </w:rPr>
        <w:t xml:space="preserve">y la temperatura en cada interfaz se obtiene restando sucesivamente la caída de cada resistencia. Dentro de cada capa el perfil es logarítmico en el radio, no recto, aunque a simple vista lo parezca.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w:t>
      </w:r>
      <w:r>
        <w:rPr>
          <w:rFonts w:ascii="Times New Roman" w:cs="Times New Roman" w:eastAsia="Times New Roman" w:hAnsi="Times New Roman"/>
          <w:sz w:val="24"/>
          <w:szCs w:val="24"/>
        </w:rPr>
        <w:t xml:space="preserve">perfil estacionario con olla llena, equivalente a la curva de referencia, obtenido en hoja de cálculo o en Python.</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de aceptación: </w:t>
      </w:r>
      <w:r>
        <w:rPr>
          <w:rFonts w:ascii="Times New Roman" w:cs="Times New Roman" w:eastAsia="Times New Roman" w:hAnsi="Times New Roman"/>
          <w:sz w:val="24"/>
          <w:szCs w:val="24"/>
        </w:rPr>
        <w:t xml:space="preserve">temperatura de coraza en un rango físicamente razonable (del orden de 250 a 400 °C en pared) y coherencia con la temperatura máxima de servicio de cada capa.</w:t>
      </w:r>
    </w:p>
    <w:p>
      <w:pPr>
        <w:spacing w:after="100" w:before="240"/>
        <w:jc w:val="left"/>
      </w:pPr>
      <w:r>
        <w:rPr>
          <w:rFonts w:ascii="Times New Roman" w:cs="Times New Roman" w:eastAsia="Times New Roman" w:hAnsi="Times New Roman"/>
          <w:b/>
          <w:bCs/>
          <w:sz w:val="24"/>
          <w:szCs w:val="24"/>
        </w:rPr>
        <w:t xml:space="preserve">Fase 2. Modelo transitorio de una etapa (1 a 2 semanas)</w:t>
      </w:r>
    </w:p>
    <w:p>
      <w:pPr>
        <w:spacing w:after="120" w:line="276"/>
        <w:jc w:val="both"/>
      </w:pPr>
      <w:r>
        <w:rPr>
          <w:rFonts w:ascii="Times New Roman" w:cs="Times New Roman" w:eastAsia="Times New Roman" w:hAnsi="Times New Roman"/>
          <w:b w:val="false"/>
          <w:bCs w:val="false"/>
          <w:i w:val="false"/>
          <w:iCs w:val="false"/>
          <w:sz w:val="24"/>
          <w:szCs w:val="24"/>
        </w:rPr>
        <w:t xml:space="preserve">Discretización por volumen finito con esquema implícito y solución por algoritmo de Thomas. La ecuación discretizada para un nodo interior, con conductividad evaluada en las caras por media armónica, conduce a un sistema tridiagonal que se resuelve en cada paso de tiempo. Con propiedades dependientes de la temperatura se agrega un lazo iterativo dentro del paso.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Malla: </w:t>
      </w:r>
      <w:r>
        <w:rPr>
          <w:rFonts w:ascii="Times New Roman" w:cs="Times New Roman" w:eastAsia="Times New Roman" w:hAnsi="Times New Roman"/>
          <w:sz w:val="24"/>
          <w:szCs w:val="24"/>
        </w:rPr>
        <w:t xml:space="preserve">construirla capa por capa, nunca uniforme sobre el espesor total, y refinarla cerca de la cara caliente, que es donde los gradientes son mayores. Como punto de partida, de 10 a 20 nodos en cada capa de trabajo, 10 en la de seguridad, 10 en la aislante y 3 a 5 en la coraza.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1: </w:t>
      </w:r>
      <w:r>
        <w:rPr>
          <w:rFonts w:ascii="Times New Roman" w:cs="Times New Roman" w:eastAsia="Times New Roman" w:hAnsi="Times New Roman"/>
          <w:sz w:val="24"/>
          <w:szCs w:val="24"/>
        </w:rPr>
        <w:t xml:space="preserve">correr con una sola capa y propiedades constantes y comparar contra la solución del sólido semiinfinito. Error admisible menor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2: </w:t>
      </w:r>
      <w:r>
        <w:rPr>
          <w:rFonts w:ascii="Times New Roman" w:cs="Times New Roman" w:eastAsia="Times New Roman" w:hAnsi="Times New Roman"/>
          <w:sz w:val="24"/>
          <w:szCs w:val="24"/>
        </w:rPr>
        <w:t xml:space="preserve">correr con condiciones de frontera constantes hasta tiempo largo y comprobar que converge al perfil de la Fase 1. Esta prueba es la que detecta errores en las interfaces.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3: </w:t>
      </w:r>
      <w:r>
        <w:rPr>
          <w:rFonts w:ascii="Times New Roman" w:cs="Times New Roman" w:eastAsia="Times New Roman" w:hAnsi="Times New Roman"/>
          <w:sz w:val="24"/>
          <w:szCs w:val="24"/>
        </w:rPr>
        <w:t xml:space="preserve">balance global de energía: la energía acumulada en el revestimiento debe igualar la diferencia entre lo que entra por la cara caliente y lo que sale por la cara fría, con error menor al 1 %.</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Verificación 4: </w:t>
      </w:r>
      <w:r>
        <w:rPr>
          <w:rFonts w:ascii="Times New Roman" w:cs="Times New Roman" w:eastAsia="Times New Roman" w:hAnsi="Times New Roman"/>
          <w:sz w:val="24"/>
          <w:szCs w:val="24"/>
        </w:rPr>
        <w:t xml:space="preserve">independencia de malla y de paso de tiempo: duplicar el número de nodos y reducir Δt a la mitad debe cambiar el resultado en menos de 2 °C.</w:t>
      </w:r>
    </w:p>
    <w:p>
      <w:pPr>
        <w:spacing w:after="100" w:before="240"/>
        <w:jc w:val="left"/>
      </w:pPr>
      <w:r>
        <w:rPr>
          <w:rFonts w:ascii="Times New Roman" w:cs="Times New Roman" w:eastAsia="Times New Roman" w:hAnsi="Times New Roman"/>
          <w:b/>
          <w:bCs/>
          <w:sz w:val="24"/>
          <w:szCs w:val="24"/>
        </w:rPr>
        <w:t xml:space="preserve">Fase 3. Encadenamiento del ciclo completo (1 semana)</w:t>
      </w:r>
    </w:p>
    <w:p>
      <w:pPr>
        <w:spacing w:after="120" w:line="276"/>
        <w:jc w:val="both"/>
      </w:pPr>
      <w:r>
        <w:rPr>
          <w:rFonts w:ascii="Times New Roman" w:cs="Times New Roman" w:eastAsia="Times New Roman" w:hAnsi="Times New Roman"/>
          <w:b w:val="false"/>
          <w:bCs w:val="false"/>
          <w:i w:val="false"/>
          <w:iCs w:val="false"/>
          <w:sz w:val="24"/>
          <w:szCs w:val="24"/>
        </w:rPr>
        <w:t xml:space="preserve">Cada etapa del ciclo se representa como un conjunto de condiciones de frontera aplicado durante una duración definida. El perfil final de una etapa es la condición inicial de la siguiente, y el perfil final del ciclo es la condición inicial del ciclo siguiente. El ciclo se repite hasta alcanzar un estado estacionario periódico, es decir, hasta que el perfil al inicio de dos ciclos consecutivos difiera en menos de un umbral establecido, del orden de 5 °C en todos los nodos. Con las inercias típicas de un revestimiento esto ocurre entre el quinto y el decimoquinto ciclo.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Punto delicado 1: </w:t>
      </w:r>
      <w:r>
        <w:rPr>
          <w:rFonts w:ascii="Times New Roman" w:cs="Times New Roman" w:eastAsia="Times New Roman" w:hAnsi="Times New Roman"/>
          <w:sz w:val="24"/>
          <w:szCs w:val="24"/>
        </w:rPr>
        <w:t xml:space="preserve">la etapa de olla vacía requiere una condición de frontera radiativa no lineal en la cara caliente, del tipo q″ = ε σ (T⁴ − T∞⁴). Se resuelve por linealización o por iteración dentro del paso de tiempo. Es la etapa que genera el máximo interior de temperatura y no puede simplificarse con un coeficiente convectivo equivalente sin perder ese comportamiento.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Punto delicado 2: </w:t>
      </w:r>
      <w:r>
        <w:rPr>
          <w:rFonts w:ascii="Times New Roman" w:cs="Times New Roman" w:eastAsia="Times New Roman" w:hAnsi="Times New Roman"/>
          <w:sz w:val="24"/>
          <w:szCs w:val="24"/>
        </w:rPr>
        <w:t xml:space="preserve">durante la colada continua el nivel de acero desciende. En el punto de pared modelado, la condición de frontera cambia de contacto con acero a exposición al aire en el instante en que el nivel pasa por esa altura. Ignorarlo sobreestima la temperatura de la cara caliente al final de la colada.</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Producto: </w:t>
      </w:r>
      <w:r>
        <w:rPr>
          <w:rFonts w:ascii="Times New Roman" w:cs="Times New Roman" w:eastAsia="Times New Roman" w:hAnsi="Times New Roman"/>
          <w:sz w:val="24"/>
          <w:szCs w:val="24"/>
        </w:rPr>
        <w:t xml:space="preserve">las tres curvas solicitadas: transporte de acero líquido, inicio de precalentamiento y final de precalentamiento, en una sola gráfica de temperatura contra espesor acumulado, con las fronteras de capa señaladas.</w:t>
      </w:r>
    </w:p>
    <w:p>
      <w:pPr>
        <w:spacing w:after="100" w:before="240"/>
        <w:jc w:val="left"/>
      </w:pPr>
      <w:r>
        <w:rPr>
          <w:rFonts w:ascii="Times New Roman" w:cs="Times New Roman" w:eastAsia="Times New Roman" w:hAnsi="Times New Roman"/>
          <w:b/>
          <w:bCs/>
          <w:sz w:val="24"/>
          <w:szCs w:val="24"/>
        </w:rPr>
        <w:t xml:space="preserve">Fase 4. Calibración y validación (depende de la disponibilidad de datos)</w:t>
      </w:r>
    </w:p>
    <w:p>
      <w:pPr>
        <w:spacing w:after="120" w:line="276"/>
        <w:jc w:val="both"/>
      </w:pPr>
      <w:r>
        <w:rPr>
          <w:rFonts w:ascii="Times New Roman" w:cs="Times New Roman" w:eastAsia="Times New Roman" w:hAnsi="Times New Roman"/>
          <w:b w:val="false"/>
          <w:bCs w:val="false"/>
          <w:i w:val="false"/>
          <w:iCs w:val="false"/>
          <w:sz w:val="24"/>
          <w:szCs w:val="24"/>
        </w:rPr>
        <w:t xml:space="preserve">La calibración se hace contra la temperatura de coraza medida, ajustando un número reducido de parámetros. Ajustar muchos parámetros a la vez produce un modelo que reproduce los datos sin ser correcto, y que falla al extrapolar a un tiempo de precalentamiento distinto, que es justamente lo que se le va a pedir.</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1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Orden</w:t>
            </w:r>
          </w:p>
        </w:tc>
        <w:tc>
          <w:tcPr>
            <w:tcW w:type="pct" w:w="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Parámetro de ajuste</w:t>
            </w:r>
          </w:p>
        </w:tc>
        <w:tc>
          <w:tcPr>
            <w:tcW w:type="pct" w:w="5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Justificación</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Resistencia térmica de contacto entre capas</w:t>
            </w:r>
          </w:p>
        </w:tc>
        <w:tc>
          <w:tcPr>
            <w:tcW w:type="pct" w:w="5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 el parámetro con mayor incertidumbre y con efecto directo sobre la temperatura de coraza</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Emisividad de la coraza y coeficiente de convección exterior</w:t>
            </w:r>
          </w:p>
        </w:tc>
        <w:tc>
          <w:tcPr>
            <w:tcW w:type="pct" w:w="5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Afectan la cara fría, que es donde se compara</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Conductividad de la capa aislante</w:t>
            </w:r>
          </w:p>
        </w:tc>
        <w:tc>
          <w:tcPr>
            <w:tcW w:type="pct" w:w="5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Solo si tras los dos anteriores persiste una desviación sistemática</w:t>
            </w:r>
          </w:p>
        </w:tc>
      </w:tr>
      <w:tr>
        <w:tc>
          <w:tcPr>
            <w:tcW w:type="pct" w:w="1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t>
            </w:r>
          </w:p>
        </w:tc>
        <w:tc>
          <w:tcPr>
            <w:tcW w:type="pct" w:w="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No ajustar</w:t>
            </w:r>
          </w:p>
        </w:tc>
        <w:tc>
          <w:tcPr>
            <w:tcW w:type="pct" w:w="5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Espesores, densidades y duración de etapas: son datos medidos, no parámetros</w:t>
            </w:r>
          </w:p>
        </w:tc>
      </w:tr>
    </w:tbl>
    <w:p>
      <w:pPr>
        <w:spacing w:after="120" w:line="276"/>
        <w:jc w:val="both"/>
      </w:pPr>
      <w:r>
        <w:rPr>
          <w:rFonts w:ascii="Times New Roman" w:cs="Times New Roman" w:eastAsia="Times New Roman" w:hAnsi="Times New Roman"/>
          <w:b w:val="false"/>
          <w:bCs w:val="false"/>
          <w:i w:val="false"/>
          <w:iCs w:val="false"/>
          <w:sz w:val="24"/>
          <w:szCs w:val="24"/>
        </w:rPr>
        <w:t xml:space="preserve">Criterio de aceptación sugerido: error menor a 25 °C en temperatura de coraza y menor a 50 °C en cara caliente, sostenido a lo largo de todo el ciclo y no solo en un instante.</w:t>
      </w:r>
    </w:p>
    <w:p>
      <w:pPr>
        <w:spacing w:after="100" w:before="240"/>
        <w:jc w:val="left"/>
      </w:pPr>
      <w:r>
        <w:rPr>
          <w:rFonts w:ascii="Times New Roman" w:cs="Times New Roman" w:eastAsia="Times New Roman" w:hAnsi="Times New Roman"/>
          <w:b/>
          <w:bCs/>
          <w:sz w:val="24"/>
          <w:szCs w:val="24"/>
        </w:rPr>
        <w:t xml:space="preserve">Fase 5. Explotación: tiempo mínimo de precalentamiento (3 a 4 días)</w:t>
      </w:r>
    </w:p>
    <w:p>
      <w:pPr>
        <w:spacing w:after="120" w:line="276"/>
        <w:jc w:val="both"/>
      </w:pPr>
      <w:r>
        <w:rPr>
          <w:rFonts w:ascii="Times New Roman" w:cs="Times New Roman" w:eastAsia="Times New Roman" w:hAnsi="Times New Roman"/>
          <w:b w:val="false"/>
          <w:bCs w:val="false"/>
          <w:i w:val="false"/>
          <w:iCs w:val="false"/>
          <w:sz w:val="24"/>
          <w:szCs w:val="24"/>
        </w:rPr>
        <w:t xml:space="preserve">Con el modelo validado, se hace un barrido: para cada estado térmico inicial de la olla —caracterizado por el tiempo que permaneció vacía antes de entrar al precalentador— se calcula el tiempo necesario para que la cara caliente alcance 1100 °C. El resultado se presenta como curva de diseño, con el tiempo de precalentamiento requerido en función del tiempo previo de enfriamiento o de la temperatura inicial de cara caliente medida con pirómetro, que es la variable que el operador puede conocer.</w:t>
      </w:r>
    </w:p>
    <w:p>
      <w:pPr>
        <w:spacing w:after="120" w:line="276"/>
        <w:jc w:val="both"/>
      </w:pPr>
      <w:r>
        <w:rPr>
          <w:rFonts w:ascii="Times New Roman" w:cs="Times New Roman" w:eastAsia="Times New Roman" w:hAnsi="Times New Roman"/>
          <w:b w:val="false"/>
          <w:bCs w:val="false"/>
          <w:i w:val="false"/>
          <w:iCs w:val="false"/>
          <w:sz w:val="24"/>
          <w:szCs w:val="24"/>
        </w:rPr>
        <w:t xml:space="preserve">Se recomienda un criterio doble en lugar del criterio simple de 1100 °C en la cara caliente, por la razón expuesta en la sección 1.1: la superficie se calienta mucho más rápido que el conjunto y es posible cumplir el criterio superficial con el revestimiento todavía frío por dentro. El criterio doble sería, por ejemplo, cara caliente por encima de 1100 °C y temperatura en la interfaz entre capa de trabajo y capa de seguridad por encima de un valor por definir con los resultados del propio modelo. La formulación exacta del segundo criterio es uno de los hallazgos esperados del trabajo.</w:t>
      </w:r>
    </w:p>
    <w:p>
      <w:pPr>
        <w:spacing w:after="100" w:before="240"/>
        <w:jc w:val="left"/>
      </w:pPr>
      <w:r>
        <w:rPr>
          <w:rFonts w:ascii="Times New Roman" w:cs="Times New Roman" w:eastAsia="Times New Roman" w:hAnsi="Times New Roman"/>
          <w:b/>
          <w:bCs/>
          <w:sz w:val="24"/>
          <w:szCs w:val="24"/>
        </w:rPr>
        <w:t xml:space="preserve">Fase 6. Incorporación del desgaste (etapa posterior)</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Planteamiento: </w:t>
      </w:r>
      <w:r>
        <w:rPr>
          <w:rFonts w:ascii="Times New Roman" w:cs="Times New Roman" w:eastAsia="Times New Roman" w:hAnsi="Times New Roman"/>
          <w:sz w:val="24"/>
          <w:szCs w:val="24"/>
        </w:rPr>
        <w:t xml:space="preserve">expresar el espesor de la capa de trabajo como función del número de coladas, e₁(n), regenerar la malla para cada n y repetir el ciclo. La consecuencia esperada es doble: menor inercia y menor resistencia térmica, es decir, olla que se enfría más rápido y coraza más caliente.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Entregable: </w:t>
      </w:r>
      <w:r>
        <w:rPr>
          <w:rFonts w:ascii="Times New Roman" w:cs="Times New Roman" w:eastAsia="Times New Roman" w:hAnsi="Times New Roman"/>
          <w:sz w:val="24"/>
          <w:szCs w:val="24"/>
        </w:rPr>
        <w:t xml:space="preserve">familia de curvas de tiempo mínimo de precalentamiento parametrizadas por el número de coladas, que es lo que conecta este modelo con la gestión de la campaña.</w:t>
      </w:r>
    </w:p>
    <w:p>
      <w:pPr>
        <w:spacing w:after="200" w:before="360"/>
        <w:jc w:val="center"/>
      </w:pPr>
      <w:r>
        <w:rPr>
          <w:rFonts w:ascii="Times New Roman" w:cs="Times New Roman" w:eastAsia="Times New Roman" w:hAnsi="Times New Roman"/>
          <w:b/>
          <w:bCs/>
          <w:sz w:val="24"/>
          <w:szCs w:val="24"/>
          <w:u w:val="single"/>
        </w:rPr>
        <w:t xml:space="preserve">5. DECISIONES DE MODELADO PREVIAS A PROGRAMAR</w:t>
      </w:r>
    </w:p>
    <w:p>
      <w:pPr>
        <w:spacing w:after="120" w:line="276"/>
        <w:jc w:val="both"/>
      </w:pPr>
      <w:r>
        <w:rPr>
          <w:rFonts w:ascii="Times New Roman" w:cs="Times New Roman" w:eastAsia="Times New Roman" w:hAnsi="Times New Roman"/>
          <w:b w:val="false"/>
          <w:bCs w:val="false"/>
          <w:i w:val="false"/>
          <w:iCs w:val="false"/>
          <w:sz w:val="24"/>
          <w:szCs w:val="24"/>
        </w:rPr>
        <w:t xml:space="preserve">Conviene resolverlas por escrito antes de escribir la primera línea de código, porque cambiar cualquiera de ellas después obliga a reestructurar el programa.</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2%"/>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Decisión</w:t>
            </w:r>
          </w:p>
        </w:tc>
        <w:tc>
          <w:tcPr>
            <w:tcW w:type="pct" w:w="3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Opciones</w:t>
            </w:r>
          </w:p>
        </w:tc>
        <w:tc>
          <w:tcPr>
            <w:tcW w:type="pct" w:w="4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Recomendación</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Geometría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Pared plana o pared cilíndrica</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Cilíndrica: con e/r₁ ≈ 0.2 la diferencia es apreciable y el costo de programación es nulo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Origen del eje de espesor</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Cero en la cara caliente o cero en la cara fría</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Cero en la cara fría, para comparar directamente con la figura de referencia; declararlo explícitamente en cada gráfica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Esquema temporal</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Explícito, implícito o Crank-Nicolson</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Implícito con algoritmo de Thomas: el explícito exige Δt ≤ Δx²/(2α) y con el aislante resulta impráctico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Tratamiento del baño</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impuesta o nodo de capacitancia concentrada</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Temperatura impuesta en la primera versión; nodo concentrado cuando se quiera predecir la caída de temperatura del acero</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Contacto entre capas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Perfecto o con resistencia de contacto</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Programar desde el inicio con R″c como parámetro, aunque valga cero al principio; agregarlo después obliga a rehacer la discretización</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Propiedades</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Constantes o dependientes de la temperatura</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Constantes solo para la verificación; k(T) y cp(T) en el modelo definitivo, sobre todo en el aislante y en el MgO-C</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Radiación en olla vacía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Coeficiente equivalente o término T⁴ explícito</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Término T⁴ explícito: el coeficiente equivalente no reproduce el máximo interior de temperatura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Vaciado durante la colada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Nivel fijo o nivel descendente</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Nivel descendente, con cambio de condición de frontera cuando el nivel pasa por la altura modelada</w:t>
            </w:r>
          </w:p>
        </w:tc>
      </w:tr>
      <w:tr>
        <w:tc>
          <w:tcPr>
            <w:tcW w:type="pct" w:w="22%"/>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Herramienta</w:t>
            </w:r>
          </w:p>
        </w:tc>
        <w:tc>
          <w:tcPr>
            <w:tcW w:type="pct" w:w="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 Excel o MATLAB</w:t>
            </w:r>
          </w:p>
        </w:tc>
        <w:tc>
          <w:tcPr>
            <w:tcW w:type="pct" w:w="48%"/>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Python con NumPy y Matplotlib: el barrido de ciclos y la generación de las gráficas del entregable se automatizan; Excel se reserva para el estacionario de verificación</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6. RIESGOS Y PUNTOS CRÍTICOS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Conductividad del aislante: </w:t>
      </w:r>
      <w:r>
        <w:rPr>
          <w:rFonts w:ascii="Times New Roman" w:cs="Times New Roman" w:eastAsia="Times New Roman" w:hAnsi="Times New Roman"/>
          <w:sz w:val="24"/>
          <w:szCs w:val="24"/>
        </w:rPr>
        <w:t xml:space="preserve">es el dato menos documentado y el que más afecta a la temperatura de coraza y a la inercia. Si no se consigue de ficha técnica, conviene tratarlo como parámetro de calibración y declararlo así en el reporte, en lugar de presentar un valor de manual como si fuera medido.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Dispersión de los tiempos de ciclo: </w:t>
      </w:r>
      <w:r>
        <w:rPr>
          <w:rFonts w:ascii="Times New Roman" w:cs="Times New Roman" w:eastAsia="Times New Roman" w:hAnsi="Times New Roman"/>
          <w:sz w:val="24"/>
          <w:szCs w:val="24"/>
        </w:rPr>
        <w:t xml:space="preserve">el tiempo que la olla permanece vacía es el que fija el estado inicial del precalentamiento, y suele ser el dato con mayor variabilidad y peor registro. Un valor promedio sin su dispersión produce una recomendación de precalentamiento que falla justamente en los casos extremos, que son los que causan los problemas.</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Criterio superficial engañoso: </w:t>
      </w:r>
      <w:r>
        <w:rPr>
          <w:rFonts w:ascii="Times New Roman" w:cs="Times New Roman" w:eastAsia="Times New Roman" w:hAnsi="Times New Roman"/>
          <w:sz w:val="24"/>
          <w:szCs w:val="24"/>
        </w:rPr>
        <w:t xml:space="preserve">juzgar el precalentamiento solo por la temperatura de cara caliente puede llevar a recomendar tiempos insuficientes. El modelo existe precisamente para ver lo que el pirómetro no ve.</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Sobreajuste en la calibración: </w:t>
      </w:r>
      <w:r>
        <w:rPr>
          <w:rFonts w:ascii="Times New Roman" w:cs="Times New Roman" w:eastAsia="Times New Roman" w:hAnsi="Times New Roman"/>
          <w:sz w:val="24"/>
          <w:szCs w:val="24"/>
        </w:rPr>
        <w:t xml:space="preserve">ajustar más de dos o tres parámetros reproduce los datos de validación sin garantizar que el modelo extrapole correctamente a otros tiempos de precalentamiento.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Alcance del 1D: </w:t>
      </w:r>
      <w:r>
        <w:rPr>
          <w:rFonts w:ascii="Times New Roman" w:cs="Times New Roman" w:eastAsia="Times New Roman" w:hAnsi="Times New Roman"/>
          <w:sz w:val="24"/>
          <w:szCs w:val="24"/>
        </w:rPr>
        <w:t xml:space="preserve">el modelo es válido en la pared a media altura. El fondo, la esquina pared-fondo y la línea de escoria tienen comportamiento bidimensional y no deben presentarse como cubiertos por este modelo.</w:t>
      </w:r>
    </w:p>
    <w:p>
      <w:pPr>
        <w:spacing w:after="8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Primer calentamiento de monolíticos: </w:t>
      </w:r>
      <w:r>
        <w:rPr>
          <w:rFonts w:ascii="Times New Roman" w:cs="Times New Roman" w:eastAsia="Times New Roman" w:hAnsi="Times New Roman"/>
          <w:sz w:val="24"/>
          <w:szCs w:val="24"/>
        </w:rPr>
        <w:t xml:space="preserve">si alguna capa es monolítica y se modela su primer calentamiento, la evaporación del agua libre y la deshidratación consumen energía que la ecuación de Fourier simple no contempla, y el tiempo real resulta mayor que el calculado.</w:t>
      </w:r>
    </w:p>
    <w:p>
      <w:pPr>
        <w:spacing w:after="200" w:before="360"/>
        <w:jc w:val="center"/>
      </w:pPr>
      <w:r>
        <w:rPr>
          <w:rFonts w:ascii="Times New Roman" w:cs="Times New Roman" w:eastAsia="Times New Roman" w:hAnsi="Times New Roman"/>
          <w:b/>
          <w:bCs/>
          <w:sz w:val="24"/>
          <w:szCs w:val="24"/>
          <w:u w:val="single"/>
        </w:rPr>
        <w:t xml:space="preserve">7. PLAN DE TRABAJO Y ENTREGABLES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rPr>
          <w:tblHeader/>
        </w:trPr>
        <w:tc>
          <w:tcPr>
            <w:tcW w:type="pct" w:w="26%"/>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Fase</w:t>
            </w:r>
          </w:p>
        </w:tc>
        <w:tc>
          <w:tcPr>
            <w:tcW w:type="pct" w:w="5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Producto verificable</w:t>
            </w:r>
          </w:p>
        </w:tc>
        <w:tc>
          <w:tcPr>
            <w:tcW w:type="pct" w:w="24%"/>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Duración estimada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 Definición del sistema</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Esquema acotado de capas, convenios y lista de suposiciones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a 3 días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Estacionario</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Perfil estacionario con olla llena y verificación de coherencia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días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 Transitorio de una etapa</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Código 1D multicapa verificado contra solución analítica y con independencia de malla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a 2 semanas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Ciclo completo</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Las tres curvas solicitadas: transporte, inicio y fin de precalentamiento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semana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 Calibración y validación</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Comparación contra temperatura de coraza medida, con error reportado</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Según disponibilidad de la colada instrumentada</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 Tiempo mínimo de precalentamiento</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Curva de diseño y criterio doble de olla precalentada</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 a 4 días</w:t>
            </w:r>
          </w:p>
        </w:tc>
      </w:tr>
      <w:tr>
        <w:tc>
          <w:tcPr>
            <w:tcW w:type="pct" w:w="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 Desgaste</w:t>
            </w:r>
          </w:p>
        </w:tc>
        <w:tc>
          <w:tcPr>
            <w:tcW w:type="pct" w:w="5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Familia de curvas por número de coladas</w:t>
            </w:r>
          </w:p>
        </w:tc>
        <w:tc>
          <w:tcPr>
            <w:tcW w:type="pct" w:w="24%"/>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Etapa posterior</w:t>
            </w:r>
          </w:p>
        </w:tc>
      </w:tr>
    </w:tbl>
    <w:p>
      <w:pPr>
        <w:spacing w:after="120"/>
      </w:pPr>
      <w:r>
        <w:rPr>
          <w:rFonts w:ascii="Times New Roman" w:cs="Times New Roman" w:eastAsia="Times New Roman" w:hAnsi="Times New Roman"/>
          <w:sz w:val="24"/>
          <w:szCs w:val="24"/>
        </w:rPr>
        <w:t xml:space="preserve"/>
      </w:r>
    </w:p>
    <w:p>
      <w:pPr>
        <w:spacing w:after="200" w:before="360"/>
        <w:jc w:val="center"/>
      </w:pPr>
      <w:r>
        <w:rPr>
          <w:rFonts w:ascii="Times New Roman" w:cs="Times New Roman" w:eastAsia="Times New Roman" w:hAnsi="Times New Roman"/>
          <w:b/>
          <w:bCs/>
          <w:sz w:val="24"/>
          <w:szCs w:val="24"/>
          <w:u w:val="single"/>
        </w:rPr>
        <w:t xml:space="preserve">8. ANEXO. ECUACIONES DE REFERENCIA</w:t>
      </w:r>
    </w:p>
    <w:p>
      <w:pPr>
        <w:spacing w:after="120" w:line="276"/>
        <w:jc w:val="both"/>
      </w:pPr>
      <w:r>
        <w:rPr>
          <w:rFonts w:ascii="Times New Roman" w:cs="Times New Roman" w:eastAsia="Times New Roman" w:hAnsi="Times New Roman"/>
          <w:b w:val="false"/>
          <w:bCs w:val="false"/>
          <w:i w:val="false"/>
          <w:iCs w:val="false"/>
          <w:sz w:val="24"/>
          <w:szCs w:val="24"/>
        </w:rPr>
        <w:t xml:space="preserve">Ecuación de gobierno, conducción transitoria unidimensional en coordenadas cilíndricas, sin generación interna:</w:t>
      </w:r>
    </w:p>
    <w:p>
      <w:pPr>
        <w:spacing w:after="120" w:before="120"/>
        <w:jc w:val="center"/>
      </w:pPr>
      <w:r>
        <w:rPr>
          <w:rFonts w:ascii="Times New Roman" w:cs="Times New Roman" w:eastAsia="Times New Roman" w:hAnsi="Times New Roman"/>
          <w:i/>
          <w:iCs/>
          <w:sz w:val="24"/>
          <w:szCs w:val="24"/>
        </w:rPr>
        <w:t xml:space="preserve">ρ(T) cp(T) ∂T/∂t = (1/r) ∂/∂r [ r k(T) ∂T/∂r ]</w:t>
      </w:r>
    </w:p>
    <w:p>
      <w:pPr>
        <w:spacing w:after="120" w:line="276"/>
        <w:jc w:val="both"/>
      </w:pPr>
      <w:r>
        <w:rPr>
          <w:rFonts w:ascii="Times New Roman" w:cs="Times New Roman" w:eastAsia="Times New Roman" w:hAnsi="Times New Roman"/>
          <w:b w:val="false"/>
          <w:bCs w:val="false"/>
          <w:i w:val="false"/>
          <w:iCs w:val="false"/>
          <w:sz w:val="24"/>
          <w:szCs w:val="24"/>
        </w:rPr>
        <w:t xml:space="preserve">Condición de frontera en la cara caliente con acero líquido:</w:t>
      </w:r>
    </w:p>
    <w:p>
      <w:pPr>
        <w:spacing w:after="120" w:before="120"/>
        <w:jc w:val="center"/>
      </w:pPr>
      <w:r>
        <w:rPr>
          <w:rFonts w:ascii="Times New Roman" w:cs="Times New Roman" w:eastAsia="Times New Roman" w:hAnsi="Times New Roman"/>
          <w:i/>
          <w:iCs/>
          <w:sz w:val="24"/>
          <w:szCs w:val="24"/>
        </w:rPr>
        <w:t xml:space="preserve">−k ∂T/∂r |_cara = h_int (T_acero − T_cara)</w:t>
      </w:r>
    </w:p>
    <w:p>
      <w:pPr>
        <w:spacing w:after="120" w:line="276"/>
        <w:jc w:val="both"/>
      </w:pPr>
      <w:r>
        <w:rPr>
          <w:rFonts w:ascii="Times New Roman" w:cs="Times New Roman" w:eastAsia="Times New Roman" w:hAnsi="Times New Roman"/>
          <w:b w:val="false"/>
          <w:bCs w:val="false"/>
          <w:i w:val="false"/>
          <w:iCs w:val="false"/>
          <w:sz w:val="24"/>
          <w:szCs w:val="24"/>
        </w:rPr>
        <w:t xml:space="preserve">Condición de frontera en la cara caliente con la olla vacía o en precalentamiento:</w:t>
      </w:r>
    </w:p>
    <w:p>
      <w:pPr>
        <w:spacing w:after="120" w:before="120"/>
        <w:jc w:val="center"/>
      </w:pPr>
      <w:r>
        <w:rPr>
          <w:rFonts w:ascii="Times New Roman" w:cs="Times New Roman" w:eastAsia="Times New Roman" w:hAnsi="Times New Roman"/>
          <w:i/>
          <w:iCs/>
          <w:sz w:val="24"/>
          <w:szCs w:val="24"/>
        </w:rPr>
        <w:t xml:space="preserve">−k ∂T/∂r |_cara = ε σ (T_ent⁴ − T_cara⁴) + h_g (T_g − T_cara)</w:t>
      </w:r>
    </w:p>
    <w:p>
      <w:pPr>
        <w:spacing w:after="120" w:line="276"/>
        <w:jc w:val="both"/>
      </w:pPr>
      <w:r>
        <w:rPr>
          <w:rFonts w:ascii="Times New Roman" w:cs="Times New Roman" w:eastAsia="Times New Roman" w:hAnsi="Times New Roman"/>
          <w:b w:val="false"/>
          <w:bCs w:val="false"/>
          <w:i w:val="false"/>
          <w:iCs w:val="false"/>
          <w:sz w:val="24"/>
          <w:szCs w:val="24"/>
        </w:rPr>
        <w:t xml:space="preserve">Condición de frontera en la cara fría, coraza al ambiente:</w:t>
      </w:r>
    </w:p>
    <w:p>
      <w:pPr>
        <w:spacing w:after="120" w:before="120"/>
        <w:jc w:val="center"/>
      </w:pPr>
      <w:r>
        <w:rPr>
          <w:rFonts w:ascii="Times New Roman" w:cs="Times New Roman" w:eastAsia="Times New Roman" w:hAnsi="Times New Roman"/>
          <w:i/>
          <w:iCs/>
          <w:sz w:val="24"/>
          <w:szCs w:val="24"/>
        </w:rPr>
        <w:t xml:space="preserve">−k ∂T/∂r |_ext = h_ext (T_ext − T_∞) + ε_ext σ (T_ext⁴ − T_∞⁴)</w:t>
      </w:r>
    </w:p>
    <w:p>
      <w:pPr>
        <w:spacing w:after="120" w:line="276"/>
        <w:jc w:val="both"/>
      </w:pPr>
      <w:r>
        <w:rPr>
          <w:rFonts w:ascii="Times New Roman" w:cs="Times New Roman" w:eastAsia="Times New Roman" w:hAnsi="Times New Roman"/>
          <w:b w:val="false"/>
          <w:bCs w:val="false"/>
          <w:i w:val="false"/>
          <w:iCs w:val="false"/>
          <w:sz w:val="24"/>
          <w:szCs w:val="24"/>
        </w:rPr>
        <w:t xml:space="preserve">Conductividad en la cara entre dos volúmenes de control de materiales distintos, media armónica:</w:t>
      </w:r>
    </w:p>
    <w:p>
      <w:pPr>
        <w:spacing w:after="120" w:before="120"/>
        <w:jc w:val="center"/>
      </w:pPr>
      <w:r>
        <w:rPr>
          <w:rFonts w:ascii="Times New Roman" w:cs="Times New Roman" w:eastAsia="Times New Roman" w:hAnsi="Times New Roman"/>
          <w:i/>
          <w:iCs/>
          <w:sz w:val="24"/>
          <w:szCs w:val="24"/>
        </w:rPr>
        <w:t xml:space="preserve">k_cara = (Δx_P + Δx_E) / (Δx_P/k_P + Δx_E/k_E)</w:t>
      </w:r>
    </w:p>
    <w:p>
      <w:pPr>
        <w:spacing w:after="120" w:line="276"/>
        <w:jc w:val="both"/>
      </w:pPr>
      <w:r>
        <w:rPr>
          <w:rFonts w:ascii="Times New Roman" w:cs="Times New Roman" w:eastAsia="Times New Roman" w:hAnsi="Times New Roman"/>
          <w:b w:val="false"/>
          <w:bCs w:val="false"/>
          <w:i w:val="false"/>
          <w:iCs w:val="false"/>
          <w:sz w:val="24"/>
          <w:szCs w:val="24"/>
        </w:rPr>
        <w:t xml:space="preserve">Criterio de estabilidad del esquema explícito, incluido solo como justificación de por qué se descarta:</w:t>
      </w:r>
    </w:p>
    <w:p>
      <w:pPr>
        <w:spacing w:after="120" w:before="120"/>
        <w:jc w:val="center"/>
      </w:pPr>
      <w:r>
        <w:rPr>
          <w:rFonts w:ascii="Times New Roman" w:cs="Times New Roman" w:eastAsia="Times New Roman" w:hAnsi="Times New Roman"/>
          <w:i/>
          <w:iCs/>
          <w:sz w:val="24"/>
          <w:szCs w:val="24"/>
        </w:rPr>
        <w:t xml:space="preserve">Fo = α Δt / Δx² ≤ 1/2   (nodo interior);   Fo (1 + Bi) ≤ 1/2   (nodo frontera con convección)</w:t>
      </w:r>
    </w:p>
    <w:p>
      <w:pPr>
        <w:spacing w:after="120" w:line="276"/>
        <w:jc w:val="both"/>
      </w:pPr>
      <w:r>
        <w:rPr>
          <w:rFonts w:ascii="Times New Roman" w:cs="Times New Roman" w:eastAsia="Times New Roman" w:hAnsi="Times New Roman"/>
          <w:b w:val="false"/>
          <w:bCs w:val="false"/>
          <w:i w:val="false"/>
          <w:iCs w:val="false"/>
          <w:sz w:val="24"/>
          <w:szCs w:val="24"/>
        </w:rPr>
        <w:t xml:space="preserve">Criterio de estado estacionario periódico del ciclo:</w:t>
      </w:r>
    </w:p>
    <w:p>
      <w:pPr>
        <w:spacing w:after="120" w:before="120"/>
        <w:jc w:val="center"/>
      </w:pPr>
      <w:r>
        <w:rPr>
          <w:rFonts w:ascii="Times New Roman" w:cs="Times New Roman" w:eastAsia="Times New Roman" w:hAnsi="Times New Roman"/>
          <w:i/>
          <w:iCs/>
          <w:sz w:val="24"/>
          <w:szCs w:val="24"/>
        </w:rPr>
        <w:t xml:space="preserve">máx | T_inicio_ciclo,n (x) − T_inicio_ciclo,n−1 (x) | &lt; 5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2026-08-17T15:59:00.073Z</dcterms:created>
  <dcterms:modified xsi:type="dcterms:W3CDTF">2026-08-17T15:59:00.092Z</dcterms:modified>
</cp:coreProperties>
</file>

<file path=docProps/custom.xml><?xml version="1.0" encoding="utf-8"?>
<Properties xmlns="http://schemas.openxmlformats.org/officeDocument/2006/custom-properties" xmlns:vt="http://schemas.openxmlformats.org/officeDocument/2006/docPropsVTypes"/>
</file>