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/>
    <w:p/>
    <w:p/>
    <w:p/>
    <w:p/>
    <w:p>
      <w:pPr>
        <w:jc w:val="center"/>
      </w:pPr>
      <w:r>
        <w:rPr>
          <w:b/>
          <w:color w:val="1F3A5F"/>
          <w:sz w:val="56"/>
        </w:rPr>
        <w:t>Collapse Pathways</w:t>
      </w:r>
    </w:p>
    <w:p>
      <w:pPr>
        <w:jc w:val="center"/>
      </w:pPr>
      <w:r>
        <w:rPr>
          <w:i/>
          <w:color w:val="5B6572"/>
          <w:sz w:val="28"/>
        </w:rPr>
        <w:t>A comparative historical collapse-pattern analysis and global fragility framework</w:t>
      </w:r>
    </w:p>
    <w:p/>
    <w:p>
      <w:pPr>
        <w:jc w:val="center"/>
      </w:pPr>
      <w:r>
        <w:rPr>
          <w:b/>
          <w:color w:val="8E2F2F"/>
          <w:sz w:val="32"/>
        </w:rPr>
        <w:t>Professional presentation dossier</w:t>
      </w:r>
    </w:p>
    <w:p/>
    <w:p>
      <w:pPr>
        <w:jc w:val="center"/>
      </w:pPr>
      <w:r>
        <w:rPr>
          <w:color w:val="5B6572"/>
          <w:sz w:val="22"/>
        </w:rPr>
        <w:t>Prepared for portfolio / presentation use</w:t>
        <w:br/>
        <w:t>Adrian Moroianu</w:t>
        <w:br/>
        <w:t>April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Collapse Pathways is an uncertainty-aware comparative research project that turns diverse historical interpretations into a structured dataset spanning 15 major cases of state, imperial, and regional breakdown. Rather than treating collapse as a single-cause event, the project identifies recurrent clusters of political, economic, social, environmental, military, and institutional stress. The final stage extends those historical findings into a present-day Global Fragility Index with scenario analysis.</w:t>
      </w:r>
    </w:p>
    <w:p>
      <w:pPr>
        <w:pStyle w:val="ListBullet"/>
        <w:spacing w:after="40"/>
      </w:pPr>
      <w:r>
        <w:t>Dataset scope: 174 coded time-window rows covering 15 historical cases from the Western Roman Empire to Yugoslavia.</w:t>
      </w:r>
    </w:p>
    <w:p>
      <w:pPr>
        <w:pStyle w:val="ListBullet"/>
        <w:spacing w:after="40"/>
      </w:pPr>
      <w:r>
        <w:t>Strongest historical signals: territorial loss, political fragmentation, legitimacy crisis, fiscal crisis, urban decline, and internal conflict.</w:t>
      </w:r>
    </w:p>
    <w:p>
      <w:pPr>
        <w:pStyle w:val="ListBullet"/>
        <w:spacing w:after="40"/>
      </w:pPr>
      <w:r>
        <w:t>Uncertainty is explicit: difficult-to-compare variables are retained but marked as unknown (coded 9) rather than forced into false precision.</w:t>
      </w:r>
    </w:p>
    <w:p>
      <w:pPr>
        <w:pStyle w:val="ListBullet"/>
        <w:spacing w:after="40"/>
      </w:pPr>
      <w:r>
        <w:t>Present-day extension: baseline Global Fragility Index of 73.35 / 100, with conservative and high-stress scenarios at 55.25 and 91.45.</w:t>
      </w:r>
    </w:p>
    <w:p>
      <w:pPr>
        <w:pStyle w:val="Heading1"/>
      </w:pPr>
      <w:r>
        <w:t>1. Introduction</w:t>
      </w:r>
    </w:p>
    <w:p>
      <w:r>
        <w:t>Historical collapse is often studied case by case, while public discussions of present-day instability often leap too quickly into prediction. This project is designed to sit between those extremes. It asks how collapse patterns can be studied comparatively, in a disciplined way, without pretending that ancient societies and the contemporary world are identical.</w:t>
      </w:r>
    </w:p>
    <w:p>
      <w:r>
        <w:t>The project therefore uses a transparent coding framework and emphasizes three principles throughout: comparability, uncertainty handling, and interpretability. The result is not an “apocalypse model,” but a structured way to examine how breakdown pathways recur and how they might overlap with contemporary global conditions.</w:t>
      </w:r>
    </w:p>
    <w:p>
      <w:pPr>
        <w:pStyle w:val="Heading1"/>
      </w:pPr>
      <w:r>
        <w:t>2. Research Question and Objectives</w:t>
      </w:r>
    </w:p>
    <w:p>
      <w:pPr>
        <w:pStyle w:val="ListBullet"/>
        <w:spacing w:after="40"/>
      </w:pPr>
      <w:r>
        <w:t>Which factors recur most consistently across major historical collapses and severe systemic transformations?</w:t>
      </w:r>
    </w:p>
    <w:p>
      <w:pPr>
        <w:pStyle w:val="ListBullet"/>
        <w:spacing w:after="40"/>
      </w:pPr>
      <w:r>
        <w:t>Which combinations of factors differentiate lower-collapse from higher-collapse rows?</w:t>
      </w:r>
    </w:p>
    <w:p>
      <w:pPr>
        <w:pStyle w:val="ListBullet"/>
        <w:spacing w:after="40"/>
      </w:pPr>
      <w:r>
        <w:t>Which factors are strongly supported across the dataset, and which remain evidence-limited?</w:t>
      </w:r>
    </w:p>
    <w:p>
      <w:pPr>
        <w:pStyle w:val="ListBullet"/>
        <w:spacing w:after="40"/>
      </w:pPr>
      <w:r>
        <w:t>How strongly do historically recurrent patterns overlap with selected present-day global stress conditions?</w:t>
      </w:r>
    </w:p>
    <w:p>
      <w:pPr>
        <w:pStyle w:val="Heading1"/>
      </w:pPr>
      <w:r>
        <w:t>3. Project Design</w:t>
      </w:r>
    </w:p>
    <w:p>
      <w:r>
        <w:t>The project follows a staged workflow from historical coding to present-day scenario analysis:</w:t>
      </w:r>
    </w:p>
    <w:p>
      <w:pPr>
        <w:jc w:val="center"/>
      </w:pPr>
      <w:r>
        <w:drawing>
          <ns1:inline>
            <ns1:extent cx="6355080" cy="3611880"/>
            <ns1:docPr id="2" name="Picture 2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diagram_workflow.png"/>
                    <ns3:cNvPicPr/>
                  </ns3:nvPicPr>
                  <ns3:blipFill>
                    <ns2:blip ns4:embed="rId16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6355080" cy="3611880"/>
                    </ns2:xfrm>
                    <ns2:prstGeom prst="rect"/>
                  </ns3:spPr>
                </ns3:pic>
              </ns2:graphicData>
            </ns2:graphic>
          </ns1:inline>
        </w:drawing>
      </w:r>
    </w:p>
    <w:p>
      <w:pPr>
        <w:jc w:val="center"/>
      </w:pPr>
      <w:r>
        <w:rPr>
          <w:i/>
          <w:color w:val="5B6572"/>
          <w:sz w:val="18"/>
        </w:rPr>
        <w:t>Figure 1. High-level workflow from historical case selection to present-day global fragility scoring.</w:t>
      </w:r>
    </w:p>
    <w:p>
      <w:r>
        <w:br w:type="page"/>
      </w:r>
    </w:p>
    <w:p>
      <w:pPr>
        <w:pStyle w:val="Heading2"/>
      </w:pPr>
      <w:r>
        <w:t>Historical cases included</w:t>
      </w:r>
    </w:p>
    <w:p>
      <w:r>
        <w:t>Western Roman Empire; Bronze Age Collapse States; Maya; Akkadian Empire; Khmer Empire; Han Dynasty Crisis; Byzantine Decline; Sassanian Empire; Easter Island; Classic Mesopotamian States; Ming/Qing Transition; Aztec Empire; Inca Empire; Soviet Union; Yugoslavia.</w:t>
      </w:r>
    </w:p>
    <w:p>
      <w:pPr>
        <w:pStyle w:val="Heading2"/>
      </w:pPr>
      <w:r>
        <w:t>Factor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t>Category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t>Variables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t>Political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t>political_fragmentation, elite_conflict, succession_crisis, legitimacy_crisis, administrative_overload, corruption_governance_failure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t>Social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t>social_inequality, social_unrest_rebellion, demographic_pressure, migration_pressure, ethnic_sectarian_fragmentation, urban_decline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t>Economic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t>fiscal_crisis, taxation_extraction_pressure, trade_disruption, inflation_currency_instability, resource_dependency, agricultural_decline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t>Environmental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t>drought_climate_stress, flood_environmental_shock, temperature_anomaly, ecological_degradation, food_insecurity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t>Military / geopolitical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t>external_invasion_pressure, civil_war_internal_conflict, military_overstretch, territorial_loss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t>Institutional / resilience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t>institutional_rigidity, adaptive_capacity, logistics_food_storage_resilience, alliance_network_strength, recovery_capacity</w:t>
            </w:r>
          </w:p>
        </w:tc>
      </w:tr>
    </w:tbl>
    <w:p>
      <w:r>
        <w:t>Scoring scale: 0 = absent / no evidence, 1 = low, 2 = moderate, 3 = high, 9 = unknown / insufficient evidence / debated interpretation.</w:t>
      </w:r>
    </w:p>
    <w:p>
      <w:pPr>
        <w:pStyle w:val="Heading1"/>
      </w:pPr>
      <w:r>
        <w:t>4. Data Construction and Uncertainty Handling</w:t>
      </w:r>
    </w:p>
    <w:p>
      <w:r>
        <w:t>Each row in the dataset represents one case in one time window. The coding process translates literature-based expert interpretations into structured factor scores. Because not all cases support the same level of precision, uncertainty is treated as an explicit feature of the dataset rather than a nuisance to hide.</w:t>
      </w:r>
    </w:p>
    <w:p>
      <w:pPr>
        <w:pStyle w:val="ListBullet"/>
        <w:spacing w:after="40"/>
      </w:pPr>
      <w:r>
        <w:t>Rows also track phase_label, collapse_outcome, collapse_within_next_window, data_confidence, source_count, and notes.</w:t>
      </w:r>
    </w:p>
    <w:p>
      <w:pPr>
        <w:pStyle w:val="ListBullet"/>
        <w:spacing w:after="40"/>
      </w:pPr>
      <w:r>
        <w:t>Unknowns are coded as 9, preserving interpretive caution for debated or weakly evidenced variables.</w:t>
      </w:r>
    </w:p>
    <w:p>
      <w:pPr>
        <w:pStyle w:val="ListBullet"/>
        <w:spacing w:after="40"/>
      </w:pPr>
      <w:r>
        <w:t>A sanity-review pass was used to catch timeline inconsistencies, repeated-note blocks, and undercoded or overconfident rows.</w:t>
      </w:r>
    </w:p>
    <w:p>
      <w:pPr>
        <w:pStyle w:val="ListBullet"/>
        <w:spacing w:after="40"/>
      </w:pPr>
      <w:r>
        <w:t>The final dataset is intended for exploratory pattern analysis, not final historian-grade truth claims.</w:t>
      </w:r>
    </w:p>
    <w:p>
      <w:pPr>
        <w:pStyle w:val="Heading1"/>
      </w:pPr>
      <w:r>
        <w:t>5. Main Historical Findings</w:t>
      </w:r>
    </w:p>
    <w:p>
      <w:r>
        <w:t>Cross-case comparison shows that historical collapse is best understood as a multi-factor breakdown syndrome rather than a monocausal event.</w:t>
      </w:r>
    </w:p>
    <w:p>
      <w:pPr>
        <w:jc w:val="center"/>
      </w:pPr>
      <w:r>
        <w:drawing>
          <ns1:inline>
            <ns1:extent cx="6126480" cy="3180875"/>
            <ns1:docPr id="3" name="Picture 3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chart_severe_factors.png"/>
                    <ns3:cNvPicPr/>
                  </ns3:nvPicPr>
                  <ns3:blipFill>
                    <ns2:blip ns4:embed="rId1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6126480" cy="3180875"/>
                    </ns2:xfrm>
                    <ns2:prstGeom prst="rect"/>
                  </ns3:spPr>
                </ns3:pic>
              </ns2:graphicData>
            </ns2:graphic>
          </ns1:inline>
        </w:drawing>
      </w:r>
    </w:p>
    <w:p>
      <w:pPr>
        <w:jc w:val="center"/>
      </w:pPr>
      <w:r>
        <w:rPr>
          <w:i/>
          <w:color w:val="5B6572"/>
          <w:sz w:val="18"/>
        </w:rPr>
        <w:t>Figure 2. Factors that rise most sharply when moving from lower-collapse rows to severe-collapse rows.</w:t>
      </w:r>
    </w:p>
    <w:p>
      <w:pPr>
        <w:jc w:val="center"/>
      </w:pPr>
      <w:r>
        <w:drawing>
          <ns1:inline>
            <ns1:extent cx="6126480" cy="3106125"/>
            <ns1:docPr id="4" name="Picture 4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chart_terminal_factors.png"/>
                    <ns3:cNvPicPr/>
                  </ns3:nvPicPr>
                  <ns3:blipFill>
                    <ns2:blip ns4:embed="rId1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6126480" cy="3106125"/>
                    </ns2:xfrm>
                    <ns2:prstGeom prst="rect"/>
                  </ns3:spPr>
                </ns3:pic>
              </ns2:graphicData>
            </ns2:graphic>
          </ns1:inline>
        </w:drawing>
      </w:r>
    </w:p>
    <w:p>
      <w:pPr>
        <w:jc w:val="center"/>
      </w:pPr>
      <w:r>
        <w:rPr>
          <w:i/>
          <w:color w:val="5B6572"/>
          <w:sz w:val="18"/>
        </w:rPr>
        <w:t>Figure 3. Highest-intensity factors within rows coded as terminal collapse or fragmentation.</w:t>
      </w:r>
    </w:p>
    <w:p>
      <w:pPr>
        <w:pStyle w:val="Heading2"/>
      </w:pPr>
      <w:r>
        <w:t>Interpretation</w:t>
      </w:r>
    </w:p>
    <w:p>
      <w:pPr>
        <w:pStyle w:val="ListBullet"/>
        <w:spacing w:after="40"/>
      </w:pPr>
      <w:r>
        <w:t>The strongest differentiators between lower-collapse and higher-collapse rows are territorial loss, political fragmentation, legitimacy crisis, fiscal crisis, urban decline, and civil/internal conflict.</w:t>
      </w:r>
    </w:p>
    <w:p>
      <w:pPr>
        <w:pStyle w:val="ListBullet"/>
        <w:spacing w:after="40"/>
      </w:pPr>
      <w:r>
        <w:t>Terminal-collapse rows are especially intense on fragmentation, territorial erosion, fiscal stress, legitimacy strain, administrative overload, and institutional rigidity.</w:t>
      </w:r>
    </w:p>
    <w:p>
      <w:pPr>
        <w:pStyle w:val="ListBullet"/>
        <w:spacing w:after="40"/>
      </w:pPr>
      <w:r>
        <w:t>The pattern supports a clustered explanation of collapse: political, territorial, and fiscal breakdowns tend to reinforce one another.</w:t>
      </w:r>
    </w:p>
    <w:p>
      <w:pPr>
        <w:pStyle w:val="Heading1"/>
      </w:pPr>
      <w:r>
        <w:t>6. Evidence Limits and Interpretive Caution</w:t>
      </w:r>
    </w:p>
    <w:p>
      <w:r>
        <w:t>Not all variables are equally comparable across cases. Some are important in particular contexts but remain difficult to code consistently across all 15 cases.</w:t>
      </w:r>
    </w:p>
    <w:p>
      <w:pPr>
        <w:jc w:val="center"/>
      </w:pPr>
      <w:r>
        <w:drawing>
          <ns1:inline>
            <ns1:extent cx="6126480" cy="3067783"/>
            <ns1:docPr id="5" name="Picture 5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chart_uncertainty.png"/>
                    <ns3:cNvPicPr/>
                  </ns3:nvPicPr>
                  <ns3:blipFill>
                    <ns2:blip ns4:embed="rId1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6126480" cy="3067783"/>
                    </ns2:xfrm>
                    <ns2:prstGeom prst="rect"/>
                  </ns3:spPr>
                </ns3:pic>
              </ns2:graphicData>
            </ns2:graphic>
          </ns1:inline>
        </w:drawing>
      </w:r>
    </w:p>
    <w:p>
      <w:pPr>
        <w:jc w:val="center"/>
      </w:pPr>
      <w:r>
        <w:rPr>
          <w:i/>
          <w:color w:val="5B6572"/>
          <w:sz w:val="18"/>
        </w:rPr>
        <w:t>Figure 4. Variables most limited by uncertainty, shown as the share of rows coded 9 = unknown.</w:t>
      </w:r>
    </w:p>
    <w:p>
      <w:pPr>
        <w:pStyle w:val="ListBullet"/>
        <w:spacing w:after="40"/>
      </w:pPr>
      <w:r>
        <w:t>Environmental and demographic variables matter in important cases, but they remain among the most uncertainty-limited parts of the dataset.</w:t>
      </w:r>
    </w:p>
    <w:p>
      <w:pPr>
        <w:pStyle w:val="ListBullet"/>
        <w:spacing w:after="40"/>
      </w:pPr>
      <w:r>
        <w:t>Cases such as Bronze Age Collapse States, Easter Island, Maya, Classic Mesopotamian States, and Inca Empire remain more heterogeneous than modern state-collapse cases.</w:t>
      </w:r>
    </w:p>
    <w:p>
      <w:pPr>
        <w:pStyle w:val="ListBullet"/>
        <w:spacing w:after="40"/>
      </w:pPr>
      <w:r>
        <w:t>The strongest claims should therefore rely most heavily on factors that remain visible despite uncertainty.</w:t>
      </w:r>
    </w:p>
    <w:p>
      <w:pPr>
        <w:pStyle w:val="Heading1"/>
      </w:pPr>
      <w:r>
        <w:t>7. Present-Day Global Extension</w:t>
      </w:r>
    </w:p>
    <w:p>
      <w:r>
        <w:t>The project includes a manual present-day extension that converts historical findings into a Global Historical Pattern Overlap / Fragility Index. This extension does not predict collapse. Instead, it measures how strongly current global conditions overlap with the types of stress patterns that recur in the historical dataset.</w:t>
      </w:r>
    </w:p>
    <w:p>
      <w:pPr>
        <w:pStyle w:val="Heading2"/>
      </w:pPr>
      <w:r>
        <w:t>Global scoring framework</w:t>
      </w:r>
    </w:p>
    <w:p>
      <w:pPr>
        <w:pStyle w:val="ListBullet"/>
        <w:spacing w:after="40"/>
      </w:pPr>
      <w:r>
        <w:t>Core present-day factors include legitimacy crisis, geopolitical instability, adaptive capacity/resilience, political fragmentation / polarization, trade disruption, conflict pressure, fiscal stress, urban social stress, institutional rigidity, food insecurity, resource dependency, and environmental stress.</w:t>
      </w:r>
    </w:p>
    <w:p>
      <w:pPr>
        <w:pStyle w:val="ListBullet"/>
        <w:spacing w:after="40"/>
      </w:pPr>
      <w:r>
        <w:t>Historical weights are held fixed; present-day scores are entered manually and interpreted through conservative, baseline, and high-stress scenarios.</w:t>
      </w:r>
    </w:p>
    <w:p>
      <w:pPr>
        <w:pStyle w:val="ListBullet"/>
        <w:spacing w:after="40"/>
      </w:pPr>
      <w:r>
        <w:t>Resilience factors offset, rather than intensify, the net fragility score.</w:t>
      </w:r>
    </w:p>
    <w:p>
      <w:pPr>
        <w:jc w:val="center"/>
      </w:pPr>
      <w:r>
        <w:drawing>
          <ns1:inline>
            <ns1:extent cx="6126480" cy="3755073"/>
            <ns1:docPr id="6" name="Picture 6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chart_scenarios.png"/>
                    <ns3:cNvPicPr/>
                  </ns3:nvPicPr>
                  <ns3:blipFill>
                    <ns2:blip ns4:embed="rId13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6126480" cy="3755073"/>
                    </ns2:xfrm>
                    <ns2:prstGeom prst="rect"/>
                  </ns3:spPr>
                </ns3:pic>
              </ns2:graphicData>
            </ns2:graphic>
          </ns1:inline>
        </w:drawing>
      </w:r>
    </w:p>
    <w:p>
      <w:pPr>
        <w:jc w:val="center"/>
      </w:pPr>
      <w:r>
        <w:rPr>
          <w:i/>
          <w:color w:val="5B6572"/>
          <w:sz w:val="18"/>
        </w:rPr>
        <w:t>Figure 5. Scenario comparison for the present-day global fragility extension using fixed historical weights and varying current-world scoring assumptions.</w:t>
      </w:r>
    </w:p>
    <w:p>
      <w:pPr>
        <w:jc w:val="center"/>
      </w:pPr>
      <w:r>
        <w:drawing>
          <ns1:inline>
            <ns1:extent cx="6126480" cy="2887442"/>
            <ns1:docPr id="7" name="Picture 7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chart_categories.png"/>
                    <ns3:cNvPicPr/>
                  </ns3:nvPicPr>
                  <ns3:blipFill>
                    <ns2:blip ns4:embed="rId14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6126480" cy="2887442"/>
                    </ns2:xfrm>
                    <ns2:prstGeom prst="rect"/>
                  </ns3:spPr>
                </ns3:pic>
              </ns2:graphicData>
            </ns2:graphic>
          </ns1:inline>
        </w:drawing>
      </w:r>
    </w:p>
    <w:p>
      <w:pPr>
        <w:jc w:val="center"/>
      </w:pPr>
      <w:r>
        <w:rPr>
          <w:i/>
          <w:color w:val="5B6572"/>
          <w:sz w:val="18"/>
        </w:rPr>
        <w:t>Figure 6. Category-level difference between higher- and lower-collapse rows; positive values rise with more severe collapse, while resilience/institutional factors offset fragility in the global extension.</w:t>
      </w:r>
    </w:p>
    <w:p>
      <w:pPr>
        <w:pStyle w:val="Heading1"/>
      </w:pPr>
      <w:r>
        <w:t>8. Scenario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t>Scenario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t>Score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t>Interpretation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t>Conservative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t>55.25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t>Moderate fragility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t>Baseline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t>73.35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t>High fragility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t>High-stress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t>91.45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t>Severe systemic stress</w:t>
            </w:r>
          </w:p>
        </w:tc>
      </w:tr>
    </w:tbl>
    <w:p>
      <w:r>
        <w:t>The scenario spread demonstrates that the framework is best used for structured scenario analysis rather than a single precise “true” number. The baseline score places the current world in a high-fragility overlap range, while the conservative and high-stress cases show how sensitive the output remains to present-day scoring assumptions.</w:t>
      </w:r>
    </w:p>
    <w:p>
      <w:pPr>
        <w:pStyle w:val="Heading1"/>
      </w:pPr>
      <w:r>
        <w:t>9. What the Project Can and Cannot Support</w:t>
      </w:r>
    </w:p>
    <w:p>
      <w:pPr>
        <w:pStyle w:val="Heading2"/>
      </w:pPr>
      <w:r>
        <w:t>What it can support</w:t>
      </w:r>
    </w:p>
    <w:p>
      <w:pPr>
        <w:pStyle w:val="ListBullet"/>
        <w:spacing w:after="40"/>
      </w:pPr>
      <w:r>
        <w:t>A transparent comparative account of which historical stress patterns recur across major breakdowns.</w:t>
      </w:r>
    </w:p>
    <w:p>
      <w:pPr>
        <w:pStyle w:val="ListBullet"/>
        <w:spacing w:after="40"/>
      </w:pPr>
      <w:r>
        <w:t>A cautious, uncertainty-aware summary of which variables are most robust versus evidence-limited.</w:t>
      </w:r>
    </w:p>
    <w:p>
      <w:pPr>
        <w:pStyle w:val="ListBullet"/>
        <w:spacing w:after="40"/>
      </w:pPr>
      <w:r>
        <w:t>A scenario-based present-day overlap framework that helps structure discussion of global fragility.</w:t>
      </w:r>
    </w:p>
    <w:p>
      <w:pPr>
        <w:pStyle w:val="Heading2"/>
      </w:pPr>
      <w:r>
        <w:t>What it cannot support</w:t>
      </w:r>
    </w:p>
    <w:p>
      <w:pPr>
        <w:pStyle w:val="ListBullet"/>
        <w:spacing w:after="40"/>
      </w:pPr>
      <w:r>
        <w:t>A literal prediction of collapse or a timetable for future breakdown.</w:t>
      </w:r>
    </w:p>
    <w:p>
      <w:pPr>
        <w:pStyle w:val="ListBullet"/>
        <w:spacing w:after="40"/>
      </w:pPr>
      <w:r>
        <w:t>A claim that ancient and modern societies are directly interchangeable.</w:t>
      </w:r>
    </w:p>
    <w:p>
      <w:pPr>
        <w:pStyle w:val="ListBullet"/>
        <w:spacing w:after="40"/>
      </w:pPr>
      <w:r>
        <w:t>A final authoritative historical truth table for every case and variable.</w:t>
      </w:r>
    </w:p>
    <w:p>
      <w:pPr>
        <w:pStyle w:val="Heading1"/>
      </w:pPr>
      <w:r>
        <w:t>10. Bibliography</w:t>
      </w:r>
    </w:p>
    <w:p>
      <w:r>
        <w:t>Selected historical sources used to construct the coding framework and case notes. Full source inventory is available in the repository.</w:t>
      </w:r>
    </w:p>
    <w:p>
      <w:pPr>
        <w:pStyle w:val="Heading2"/>
      </w:pPr>
      <w:r>
        <w:t>General / project framing</w:t>
      </w:r>
    </w:p>
    <w:p>
      <w:pPr>
        <w:pStyle w:val="ListBullet"/>
      </w:pPr>
      <w:r>
        <w:t>Britannica. (n.d.). The collapse of the Soviet Union. https://www.britannica.com/event/the-collapse-of-the-Soviet-Union/The-end-of-Soviet-communism</w:t>
      </w:r>
    </w:p>
    <w:p>
      <w:pPr>
        <w:pStyle w:val="ListBullet"/>
      </w:pPr>
      <w:r>
        <w:t>Freedom House. (2025). Global freedom declined for the 20th consecutive year.</w:t>
      </w:r>
    </w:p>
    <w:p>
      <w:pPr>
        <w:pStyle w:val="ListBullet"/>
      </w:pPr>
      <w:r>
        <w:t>International Monetary Fund. (2026). World Economic Outlook, January 2026.</w:t>
      </w:r>
    </w:p>
    <w:p>
      <w:pPr>
        <w:pStyle w:val="ListBullet"/>
      </w:pPr>
      <w:r>
        <w:t>WMO. (2025). State of the Global Climate 2025.</w:t>
      </w:r>
    </w:p>
    <w:p>
      <w:pPr>
        <w:pStyle w:val="ListBullet"/>
      </w:pPr>
      <w:r>
        <w:t>UNHCR. (2025). Global Trends / displacement reporting.</w:t>
      </w:r>
    </w:p>
    <w:p>
      <w:pPr>
        <w:pStyle w:val="ListBullet"/>
      </w:pPr>
      <w:r>
        <w:t>UN-Water. (2024). Progress on water stress.</w:t>
      </w:r>
    </w:p>
    <w:p>
      <w:pPr>
        <w:pStyle w:val="Heading2"/>
      </w:pPr>
      <w:r>
        <w:t>Soviet Union</w:t>
      </w:r>
    </w:p>
    <w:p>
      <w:pPr>
        <w:pStyle w:val="ListBullet"/>
      </w:pPr>
      <w:r>
        <w:t>Beissinger, M. R. Nationalism and the Collapse of Soviet Communism.</w:t>
      </w:r>
    </w:p>
    <w:p>
      <w:pPr>
        <w:pStyle w:val="ListBullet"/>
      </w:pPr>
      <w:r>
        <w:t>Solnick, S. Stealing the State: Control and Collapse in Soviet Institutions.</w:t>
      </w:r>
    </w:p>
    <w:p>
      <w:pPr>
        <w:pStyle w:val="ListBullet"/>
      </w:pPr>
      <w:r>
        <w:t>Friedgut, T., &amp; Siegelbaum, L. Perestroika from Below: The Soviet Miners’ Strike and Its Aftermath.</w:t>
      </w:r>
    </w:p>
    <w:p>
      <w:pPr>
        <w:pStyle w:val="ListBullet"/>
      </w:pPr>
      <w:r>
        <w:t>Britannica. The Gorbachev Era: Perestroika and Glasnost.</w:t>
      </w:r>
    </w:p>
    <w:p>
      <w:pPr>
        <w:pStyle w:val="ListBullet"/>
      </w:pPr>
      <w:r>
        <w:t>Britannica. The Soviet Economic Decline.</w:t>
      </w:r>
    </w:p>
    <w:p>
      <w:pPr>
        <w:pStyle w:val="Heading2"/>
      </w:pPr>
      <w:r>
        <w:t>Western Roman Empire</w:t>
      </w:r>
    </w:p>
    <w:p>
      <w:pPr>
        <w:pStyle w:val="ListBullet"/>
      </w:pPr>
      <w:r>
        <w:t>Halsall, G. Breakdown and barbarians.</w:t>
      </w:r>
    </w:p>
    <w:p>
      <w:pPr>
        <w:pStyle w:val="ListBullet"/>
      </w:pPr>
      <w:r>
        <w:t>Heather, P. The western empire, 425–76.</w:t>
      </w:r>
    </w:p>
    <w:p>
      <w:pPr>
        <w:pStyle w:val="ListBullet"/>
      </w:pPr>
      <w:r>
        <w:t>Sarris, P. Urban and Rural Economies in the Age of Attila.</w:t>
      </w:r>
    </w:p>
    <w:p>
      <w:pPr>
        <w:pStyle w:val="ListBullet"/>
      </w:pPr>
      <w:r>
        <w:t>McCormick, M., et al. Climate Change During and After the Roman Empire.</w:t>
      </w:r>
    </w:p>
    <w:p>
      <w:pPr>
        <w:pStyle w:val="ListBullet"/>
      </w:pPr>
      <w:r>
        <w:t>Britannica. The barbarian invasions.</w:t>
      </w:r>
    </w:p>
    <w:p>
      <w:pPr>
        <w:pStyle w:val="Heading2"/>
      </w:pPr>
      <w:r>
        <w:t>Bronze Age Collapse States</w:t>
      </w:r>
    </w:p>
    <w:p>
      <w:pPr>
        <w:pStyle w:val="ListBullet"/>
      </w:pPr>
      <w:r>
        <w:t>Knapp, A. B., &amp; Manning, S. W. Crisis in Context: The End of the Late Bronze Age in the Eastern Mediterranean.</w:t>
      </w:r>
    </w:p>
    <w:p>
      <w:pPr>
        <w:pStyle w:val="ListBullet"/>
      </w:pPr>
      <w:r>
        <w:t>Kemp, L., &amp; Cline, E. Systemic Risk and Resilience: The Bronze Age Collapse and Recovery.</w:t>
      </w:r>
    </w:p>
    <w:p>
      <w:pPr>
        <w:pStyle w:val="ListBullet"/>
      </w:pPr>
      <w:r>
        <w:t>Middleton, G. D. Getting closer to the Late Bronze Age collapse in the Aegean and Eastern Mediterranean, c. 1200 BC.</w:t>
      </w:r>
    </w:p>
    <w:p>
      <w:pPr>
        <w:pStyle w:val="ListBullet"/>
      </w:pPr>
      <w:r>
        <w:t>Drake, B. L. The influence of climatic change on the Late Bronze Age Collapse and the Greek Dark Ages.</w:t>
      </w:r>
    </w:p>
    <w:p>
      <w:pPr>
        <w:pStyle w:val="ListBullet"/>
      </w:pPr>
      <w:r>
        <w:t>Manning, S. W., et al. Severe multi-year drought coincident with Hittite collapse around 1198–1196 BC.</w:t>
      </w:r>
    </w:p>
    <w:p>
      <w:pPr>
        <w:pStyle w:val="Heading2"/>
      </w:pPr>
      <w:r>
        <w:t>Maya</w:t>
      </w:r>
    </w:p>
    <w:p>
      <w:pPr>
        <w:pStyle w:val="ListBullet"/>
      </w:pPr>
      <w:r>
        <w:t>Kennett, D. J., et al. (2012). Development and disintegration of Maya political systems in response to climate change.</w:t>
      </w:r>
    </w:p>
    <w:p>
      <w:pPr>
        <w:pStyle w:val="ListBullet"/>
      </w:pPr>
      <w:r>
        <w:t>Douglas, P. M. J., et al. (2015). Drought, agricultural adaptation, and sociopolitical collapse in the Maya Lowlands.</w:t>
      </w:r>
    </w:p>
    <w:p>
      <w:pPr>
        <w:pStyle w:val="ListBullet"/>
      </w:pPr>
      <w:r>
        <w:t>Kennett, D., &amp; Hodell, D. (2017). Climate and the Classic Maya collapse.</w:t>
      </w:r>
    </w:p>
    <w:p>
      <w:pPr>
        <w:pStyle w:val="ListBullet"/>
      </w:pPr>
      <w:r>
        <w:t>Webster, D. The Classic Maya Collapse.</w:t>
      </w:r>
    </w:p>
    <w:p>
      <w:pPr>
        <w:pStyle w:val="ListBullet"/>
      </w:pPr>
      <w:r>
        <w:t>Mixter, D. (2020). Community Resilience and Urban Planning During the Ninth-Century Maya Collapse.</w:t>
      </w:r>
    </w:p>
    <w:p>
      <w:pPr>
        <w:pStyle w:val="Heading2"/>
      </w:pPr>
      <w:r>
        <w:t>Akkadian Empire</w:t>
      </w:r>
    </w:p>
    <w:p>
      <w:pPr>
        <w:pStyle w:val="ListBullet"/>
      </w:pPr>
      <w:r>
        <w:t>Cullen, H. M., et al. (2000). Climate change and the collapse of the Akkadian empire.</w:t>
      </w:r>
    </w:p>
    <w:p>
      <w:pPr>
        <w:pStyle w:val="ListBullet"/>
      </w:pPr>
      <w:r>
        <w:t>Carolin, S. A., et al. (2019). Precise timing of abrupt increase in dust activity.</w:t>
      </w:r>
    </w:p>
    <w:p>
      <w:pPr>
        <w:pStyle w:val="ListBullet"/>
      </w:pPr>
      <w:r>
        <w:t>Cookson, E., Hill, D. J., &amp; Lawrence, D. (2019). Impacts of long term climate change during the collapse of the Akkadian Empire.</w:t>
      </w:r>
    </w:p>
    <w:p>
      <w:pPr>
        <w:pStyle w:val="ListBullet"/>
      </w:pPr>
      <w:r>
        <w:t>Lawrence, D., Palmisano, A., &amp; de Gruchy, S. (2021). Collapse and continuity in the core of the Northern Fertile Crescent.</w:t>
      </w:r>
    </w:p>
    <w:p>
      <w:pPr>
        <w:pStyle w:val="Heading2"/>
      </w:pPr>
      <w:r>
        <w:t>Khmer Empire</w:t>
      </w:r>
    </w:p>
    <w:p>
      <w:pPr>
        <w:pStyle w:val="ListBullet"/>
      </w:pPr>
      <w:r>
        <w:t>Buckley, B. M., et al. (2010). Climate as a contributing factor in the demise of Angkor, Cambodia.</w:t>
      </w:r>
    </w:p>
    <w:p>
      <w:pPr>
        <w:pStyle w:val="ListBullet"/>
      </w:pPr>
      <w:r>
        <w:t>Penny, D., et al. (2018). The demise of Angkor: Systemic vulnerability of urban infrastructure to climatic variations.</w:t>
      </w:r>
    </w:p>
    <w:p>
      <w:pPr>
        <w:pStyle w:val="ListBullet"/>
      </w:pPr>
      <w:r>
        <w:t>Carter, A., et al. (2019). Temple occupation and the tempo of collapse at Angkor Wat.</w:t>
      </w:r>
    </w:p>
    <w:p>
      <w:pPr>
        <w:pStyle w:val="Heading2"/>
      </w:pPr>
      <w:r>
        <w:t>Han Dynasty Crisis</w:t>
      </w:r>
    </w:p>
    <w:p>
      <w:pPr>
        <w:pStyle w:val="ListBullet"/>
      </w:pPr>
      <w:r>
        <w:t>Mansvelt Beck, B. J. The Fall of Han.</w:t>
      </w:r>
    </w:p>
    <w:p>
      <w:pPr>
        <w:pStyle w:val="ListBullet"/>
      </w:pPr>
      <w:r>
        <w:t>de Crespigny, R. Emperor Huan and Emperor Ling.</w:t>
      </w:r>
    </w:p>
    <w:p>
      <w:pPr>
        <w:pStyle w:val="ListBullet"/>
      </w:pPr>
      <w:r>
        <w:t>Britannica. Yellow Turbans.</w:t>
      </w:r>
    </w:p>
    <w:p>
      <w:pPr>
        <w:pStyle w:val="Heading2"/>
      </w:pPr>
      <w:r>
        <w:t>Byzantine Decline</w:t>
      </w:r>
    </w:p>
    <w:p>
      <w:pPr>
        <w:pStyle w:val="ListBullet"/>
      </w:pPr>
      <w:r>
        <w:t>Haldon, J. Coincidence and Complexity.</w:t>
      </w:r>
    </w:p>
    <w:p>
      <w:pPr>
        <w:pStyle w:val="ListBullet"/>
      </w:pPr>
      <w:r>
        <w:t>Britannica. Byzantine decline and subjection to Western influences: 1025–1260.</w:t>
      </w:r>
    </w:p>
    <w:p>
      <w:pPr>
        <w:pStyle w:val="ListBullet"/>
      </w:pPr>
      <w:r>
        <w:t>Britannica. Fall of Constantinople.</w:t>
      </w:r>
    </w:p>
    <w:p>
      <w:pPr>
        <w:pStyle w:val="Heading2"/>
      </w:pPr>
      <w:r>
        <w:t>Sassanian Empire</w:t>
      </w:r>
    </w:p>
    <w:p>
      <w:pPr>
        <w:pStyle w:val="ListBullet"/>
      </w:pPr>
      <w:r>
        <w:t>Daryaee, T. Wahram Chobin, the rebel general, and the militarization of the Sasanian Empire.</w:t>
      </w:r>
    </w:p>
    <w:p>
      <w:pPr>
        <w:pStyle w:val="ListBullet"/>
      </w:pPr>
      <w:r>
        <w:t>Iranica Online. Arab conquest of Iran.</w:t>
      </w:r>
    </w:p>
    <w:p>
      <w:pPr>
        <w:pStyle w:val="ListBullet"/>
      </w:pPr>
      <w:r>
        <w:t>The Climatic Resilience of the Sasanian Empire.</w:t>
      </w:r>
    </w:p>
    <w:p>
      <w:pPr>
        <w:pStyle w:val="Heading2"/>
      </w:pPr>
      <w:r>
        <w:t>Easter Island / Rapa Nui</w:t>
      </w:r>
    </w:p>
    <w:p>
      <w:pPr>
        <w:pStyle w:val="ListBullet"/>
      </w:pPr>
      <w:r>
        <w:t>DiNapoli, R. J., et al. (2021). Population estimates challenge the precontact collapse narrative for Rapa Nui.</w:t>
      </w:r>
    </w:p>
    <w:p>
      <w:pPr>
        <w:pStyle w:val="ListBullet"/>
      </w:pPr>
      <w:r>
        <w:t>Moreno-Mayar, V., et al. (2024). Ancient genomes and the timing of demographic change on Rapa Nui.</w:t>
      </w:r>
    </w:p>
    <w:p>
      <w:pPr>
        <w:pStyle w:val="ListBullet"/>
      </w:pPr>
      <w:r>
        <w:t>Rull, V. (2020). Review of Rapa Nui collapse debates.</w:t>
      </w:r>
    </w:p>
    <w:p>
      <w:pPr>
        <w:pStyle w:val="Heading2"/>
      </w:pPr>
      <w:r>
        <w:t>Classic Mesopotamian States</w:t>
      </w:r>
    </w:p>
    <w:p>
      <w:pPr>
        <w:pStyle w:val="ListBullet"/>
      </w:pPr>
      <w:r>
        <w:t>Britannica. Ur III in decline.</w:t>
      </w:r>
    </w:p>
    <w:p>
      <w:pPr>
        <w:pStyle w:val="ListBullet"/>
      </w:pPr>
      <w:r>
        <w:t>Altaweel, M., &amp; Watanabe, C. Salinization resilience in Mesopotamia.</w:t>
      </w:r>
    </w:p>
    <w:p>
      <w:pPr>
        <w:pStyle w:val="ListBullet"/>
      </w:pPr>
      <w:r>
        <w:t>Cookson, E., et al. Long-term climate change and late third-millennium Mesopotamia.</w:t>
      </w:r>
    </w:p>
    <w:p>
      <w:pPr>
        <w:pStyle w:val="Heading2"/>
      </w:pPr>
      <w:r>
        <w:t>Ming / Qing Transition</w:t>
      </w:r>
    </w:p>
    <w:p>
      <w:pPr>
        <w:pStyle w:val="ListBullet"/>
      </w:pPr>
      <w:r>
        <w:t>Climate and population pressure in the late-Ming crisis. (2012).</w:t>
      </w:r>
    </w:p>
    <w:p>
      <w:pPr>
        <w:pStyle w:val="ListBullet"/>
      </w:pPr>
      <w:r>
        <w:t>Chongzhen drought, famine, and governance failure study. (2024).</w:t>
      </w:r>
    </w:p>
    <w:p>
      <w:pPr>
        <w:pStyle w:val="ListBullet"/>
      </w:pPr>
      <w:r>
        <w:t>The early Qing dynasty. Britannica.</w:t>
      </w:r>
    </w:p>
    <w:p>
      <w:pPr>
        <w:pStyle w:val="Heading2"/>
      </w:pPr>
      <w:r>
        <w:t>Aztec Empire</w:t>
      </w:r>
    </w:p>
    <w:p>
      <w:pPr>
        <w:pStyle w:val="ListBullet"/>
      </w:pPr>
      <w:r>
        <w:t>Britannica. Decline of the Aztec Empire.</w:t>
      </w:r>
    </w:p>
    <w:p>
      <w:pPr>
        <w:pStyle w:val="ListBullet"/>
      </w:pPr>
      <w:r>
        <w:t>Britannica. Battle of Tenochtitlan.</w:t>
      </w:r>
    </w:p>
    <w:p>
      <w:pPr>
        <w:pStyle w:val="ListBullet"/>
      </w:pPr>
      <w:r>
        <w:t>Hassig, R. Mexico and the Spanish Conquest.</w:t>
      </w:r>
    </w:p>
    <w:p>
      <w:pPr>
        <w:pStyle w:val="Heading2"/>
      </w:pPr>
      <w:r>
        <w:t>Inca Empire</w:t>
      </w:r>
    </w:p>
    <w:p>
      <w:pPr>
        <w:pStyle w:val="ListBullet"/>
      </w:pPr>
      <w:r>
        <w:t>Britannica. Inca.</w:t>
      </w:r>
    </w:p>
    <w:p>
      <w:pPr>
        <w:pStyle w:val="ListBullet"/>
      </w:pPr>
      <w:r>
        <w:t>Britannica. Atahuallpa.</w:t>
      </w:r>
    </w:p>
    <w:p>
      <w:pPr>
        <w:pStyle w:val="ListBullet"/>
      </w:pPr>
      <w:r>
        <w:t>Britannica. Conquest of Peru.</w:t>
      </w:r>
    </w:p>
    <w:p>
      <w:pPr>
        <w:pStyle w:val="Heading1"/>
      </w:pPr>
      <w:r>
        <w:t>11. Closing Note</w:t>
      </w:r>
    </w:p>
    <w:p>
      <w:r>
        <w:t>Collapse Pathways demonstrates a practical way to turn qualitative historical interpretation into a disciplined analytical workflow. Its main contribution is not prediction, but structured comparison: it shows which stress clusters recur historically, where uncertainty remains high, and how those patterns can be translated into a present-day fragility framework without overstating certainty.</w:t>
      </w:r>
    </w:p>
    <w:sectPr w:rsidR="00FC693F" w:rsidRPr="0006063C" w:rsidSect="00034616">
      <w:footerReference w:type="default" ns4:id="rId15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>Collapse Pathways presentation dossier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8E2F2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34E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B65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image" Target="media/image1.png" /><Relationship Id="rId10" Type="http://schemas.openxmlformats.org/officeDocument/2006/relationships/image" Target="media/image2.png" /><Relationship Id="rId11" Type="http://schemas.openxmlformats.org/officeDocument/2006/relationships/image" Target="media/image3.png" /><Relationship Id="rId12" Type="http://schemas.openxmlformats.org/officeDocument/2006/relationships/image" Target="media/image4.png" /><Relationship Id="rId13" Type="http://schemas.openxmlformats.org/officeDocument/2006/relationships/image" Target="media/image5.png" /><Relationship Id="rId14" Type="http://schemas.openxmlformats.org/officeDocument/2006/relationships/image" Target="media/image6.png" /><Relationship Id="rId15" Type="http://schemas.openxmlformats.org/officeDocument/2006/relationships/footer" Target="footer1.xml" /><Relationship Id="rId16" Type="http://schemas.openxmlformats.org/officeDocument/2006/relationships/image" Target="media/image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