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CasinoKing – Documento 07 v2</w:t>
      </w:r>
    </w:p>
    <w:p>
      <w:pPr>
        <w:jc w:val="center"/>
      </w:pPr>
      <w:r>
        <w:rPr>
          <w:b/>
          <w:color w:val="2F5597"/>
          <w:sz w:val="24"/>
        </w:rPr>
        <w:t>Mines – matematica congelata con policy numerica</w:t>
      </w:r>
    </w:p>
    <w:p>
      <w:pPr>
        <w:pStyle w:val="Heading1"/>
      </w:pPr>
      <w:r>
        <w:t>1. Cosa cambia rispetto alla v1</w:t>
      </w:r>
    </w:p>
    <w:p>
      <w:pPr>
        <w:pStyle w:val="ListBullet"/>
      </w:pPr>
      <w:r>
        <w:t>Il documento non resta più solo concettuale.</w:t>
      </w:r>
    </w:p>
    <w:p>
      <w:pPr>
        <w:pStyle w:val="ListBullet"/>
      </w:pPr>
      <w:r>
        <w:t>Viene formalizzata la necessità di una payout table completa per tutte le combinazioni supportate.</w:t>
      </w:r>
    </w:p>
    <w:p>
      <w:pPr>
        <w:pStyle w:val="ListBullet"/>
      </w:pPr>
      <w:r>
        <w:t>La house edge resta target, ma la matematica di prodotto è separata dalla filosofia UX.</w:t>
      </w:r>
    </w:p>
    <w:p>
      <w:pPr>
        <w:pStyle w:val="Heading1"/>
      </w:pPr>
      <w:r>
        <w:t>2. Decisione</w:t>
      </w:r>
    </w:p>
    <w:p>
      <w:r>
        <w:t>La v2 congela il metodo, i limiti operativi e il formato delle payout tables. I valori finali numerici completi saranno mantenuti in un artefatto tabellare versionato.</w:t>
      </w:r>
    </w:p>
    <w:p>
      <w:pPr>
        <w:pStyle w:val="ListBullet"/>
      </w:pPr>
      <w:r>
        <w:t>Grid size supportate: 9, 16, 25, 36, 49.</w:t>
      </w:r>
    </w:p>
    <w:p>
      <w:pPr>
        <w:pStyle w:val="ListBullet"/>
      </w:pPr>
      <w:r>
        <w:t>Mine count ammesso: per v1 prodotto, range configurabile per singola griglia.</w:t>
      </w:r>
    </w:p>
    <w:p>
      <w:pPr>
        <w:pStyle w:val="ListBullet"/>
      </w:pPr>
      <w:r>
        <w:t>House edge target: 2.0% nominale, con tolleranza per rounding.</w:t>
      </w:r>
    </w:p>
    <w:p>
      <w:pPr>
        <w:pStyle w:val="ListBullet"/>
      </w:pPr>
      <w:r>
        <w:t>Arrotondamento server-side a 4 decimali per multiplier e a 6 per importi interni.</w:t>
      </w:r>
    </w:p>
    <w:p>
      <w:pPr>
        <w:pStyle w:val="Heading1"/>
      </w:pPr>
      <w:r>
        <w:t>3. Struttura obbligatoria della payout table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DCE6F1"/>
          </w:tcPr>
          <w:p>
            <w:r>
              <w:t>grid_size</w:t>
            </w:r>
          </w:p>
        </w:tc>
        <w:tc>
          <w:tcPr>
            <w:tcW w:type="dxa" w:w="1994"/>
            <w:shd w:fill="DCE6F1"/>
          </w:tcPr>
          <w:p>
            <w:r>
              <w:t>mine_count</w:t>
            </w:r>
          </w:p>
        </w:tc>
        <w:tc>
          <w:tcPr>
            <w:tcW w:type="dxa" w:w="1994"/>
            <w:shd w:fill="DCE6F1"/>
          </w:tcPr>
          <w:p>
            <w:r>
              <w:t>safe_reveal_n</w:t>
            </w:r>
          </w:p>
        </w:tc>
        <w:tc>
          <w:tcPr>
            <w:tcW w:type="dxa" w:w="1994"/>
            <w:shd w:fill="DCE6F1"/>
          </w:tcPr>
          <w:p>
            <w:r>
              <w:t>gross_multiplier</w:t>
            </w:r>
          </w:p>
        </w:tc>
        <w:tc>
          <w:tcPr>
            <w:tcW w:type="dxa" w:w="1994"/>
            <w:shd w:fill="DCE6F1"/>
          </w:tcPr>
          <w:p>
            <w:r>
              <w:t>net_multiplier</w:t>
            </w:r>
          </w:p>
        </w:tc>
      </w:tr>
      <w:tr>
        <w:tc>
          <w:tcPr>
            <w:tcW w:type="dxa" w:w="1994"/>
          </w:tcPr>
          <w:p>
            <w:r>
              <w:t>25</w:t>
            </w:r>
          </w:p>
        </w:tc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1.1363</w:t>
            </w:r>
          </w:p>
        </w:tc>
        <w:tc>
          <w:tcPr>
            <w:tcW w:type="dxa" w:w="1994"/>
          </w:tcPr>
          <w:p>
            <w:r>
              <w:t>1.1136</w:t>
            </w:r>
          </w:p>
        </w:tc>
      </w:tr>
      <w:tr>
        <w:tc>
          <w:tcPr>
            <w:tcW w:type="dxa" w:w="1994"/>
          </w:tcPr>
          <w:p>
            <w:r>
              <w:t>25</w:t>
            </w:r>
          </w:p>
        </w:tc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1.2998</w:t>
            </w:r>
          </w:p>
        </w:tc>
        <w:tc>
          <w:tcPr>
            <w:tcW w:type="dxa" w:w="1994"/>
          </w:tcPr>
          <w:p>
            <w:r>
              <w:t>1.2738</w:t>
            </w:r>
          </w:p>
        </w:tc>
      </w:tr>
      <w:tr>
        <w:tc>
          <w:tcPr>
            <w:tcW w:type="dxa" w:w="1994"/>
          </w:tcPr>
          <w:p>
            <w:r>
              <w:t>25</w:t>
            </w:r>
          </w:p>
        </w:tc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1.4948</w:t>
            </w:r>
          </w:p>
        </w:tc>
        <w:tc>
          <w:tcPr>
            <w:tcW w:type="dxa" w:w="1994"/>
          </w:tcPr>
          <w:p>
            <w:r>
              <w:t>1.4649</w:t>
            </w:r>
          </w:p>
        </w:tc>
      </w:tr>
    </w:tbl>
    <w:p>
      <w:pPr>
        <w:pStyle w:val="Heading1"/>
      </w:pPr>
      <w:r>
        <w:t>4. Regola di implementazione</w:t>
      </w:r>
    </w:p>
    <w:p>
      <w:pPr>
        <w:pStyle w:val="ListBullet"/>
      </w:pPr>
      <w:r>
        <w:t>Il backend non calcola payout da formule floating live per ogni chiamata se la table è già congelata.</w:t>
      </w:r>
    </w:p>
    <w:p>
      <w:pPr>
        <w:pStyle w:val="ListBullet"/>
      </w:pPr>
      <w:r>
        <w:t>La formula serve a generare e validare la table.</w:t>
      </w:r>
    </w:p>
    <w:p>
      <w:pPr>
        <w:pStyle w:val="ListBullet"/>
      </w:pPr>
      <w:r>
        <w:t>Il runtime usa table versionata per evitare drift numerico e mismatch cross-language.</w:t>
      </w:r>
    </w:p>
    <w:p>
      <w:pPr>
        <w:pStyle w:val="Heading1"/>
      </w:pPr>
      <w:r>
        <w:t>5. Artefatti richiesti</w:t>
      </w:r>
    </w:p>
    <w:p>
      <w:pPr>
        <w:pStyle w:val="ListBullet"/>
      </w:pPr>
      <w:r>
        <w:t>Tabella completa CSV/JSON versionata nel repository.</w:t>
      </w:r>
    </w:p>
    <w:p>
      <w:pPr>
        <w:pStyle w:val="ListBullet"/>
      </w:pPr>
      <w:r>
        <w:t>Script di generazione payout da formula.</w:t>
      </w:r>
    </w:p>
    <w:p>
      <w:pPr>
        <w:pStyle w:val="ListBullet"/>
      </w:pPr>
      <w:r>
        <w:t>Script di validazione edge e monotonicità.</w:t>
      </w:r>
    </w:p>
    <w:p>
      <w:pPr>
        <w:pStyle w:val="ListBullet"/>
      </w:pPr>
      <w:r>
        <w:t>Test che verificano congruenza tra payout engine e tabella.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