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CasinoKing – Documento 08 v2</w:t>
      </w:r>
    </w:p>
    <w:p>
      <w:pPr>
        <w:jc w:val="center"/>
      </w:pPr>
      <w:r>
        <w:rPr>
          <w:b/>
          <w:color w:val="2F5597"/>
          <w:sz w:val="24"/>
        </w:rPr>
        <w:t>Mines – tuning di prodotto con numeri e policy di bilanciamento</w:t>
      </w:r>
    </w:p>
    <w:p>
      <w:pPr>
        <w:pStyle w:val="Heading1"/>
      </w:pPr>
      <w:r>
        <w:t>1. Cosa cambia rispetto alla v1</w:t>
      </w:r>
    </w:p>
    <w:p>
      <w:pPr>
        <w:pStyle w:val="ListBullet"/>
      </w:pPr>
      <w:r>
        <w:t>Il documento non resta solo filosofico.</w:t>
      </w:r>
    </w:p>
    <w:p>
      <w:pPr>
        <w:pStyle w:val="ListBullet"/>
      </w:pPr>
      <w:r>
        <w:t>Viene introdotta la necessità di curve payout numeriche reali e non solo qualitative.</w:t>
      </w:r>
    </w:p>
    <w:p>
      <w:pPr>
        <w:pStyle w:val="ListBullet"/>
      </w:pPr>
      <w:r>
        <w:t>Si separa chiaramente: matematica base, tuning prodotto, configurazione commerciale.</w:t>
      </w:r>
    </w:p>
    <w:p>
      <w:pPr>
        <w:pStyle w:val="Heading1"/>
      </w:pPr>
      <w:r>
        <w:t>2. Policy di tuning</w:t>
      </w:r>
    </w:p>
    <w:p>
      <w:pPr>
        <w:pStyle w:val="ListBullet"/>
      </w:pPr>
      <w:r>
        <w:t>Stile scelto confermato: bilanciato tra Stake e Hacksaw.</w:t>
      </w:r>
    </w:p>
    <w:p>
      <w:pPr>
        <w:pStyle w:val="ListBullet"/>
      </w:pPr>
      <w:r>
        <w:t>Volatilità: media, con early dopamine ma progressione non gratuita.</w:t>
      </w:r>
    </w:p>
    <w:p>
      <w:pPr>
        <w:pStyle w:val="ListBullet"/>
      </w:pPr>
      <w:r>
        <w:t>Le prime 1-2 reveal devono risultare psicologicamente attraenti, ma non eccessivamente generose.</w:t>
      </w:r>
    </w:p>
    <w:p>
      <w:pPr>
        <w:pStyle w:val="ListBullet"/>
      </w:pPr>
      <w:r>
        <w:t>Le combinazioni ad alto mine count devono essere volutamente più aggressive.</w:t>
      </w:r>
    </w:p>
    <w:p>
      <w:pPr>
        <w:pStyle w:val="Heading1"/>
      </w:pPr>
      <w:r>
        <w:t>3. Nuovo requisito</w:t>
      </w:r>
    </w:p>
    <w:p>
      <w:r>
        <w:t>Per ogni grid_size supportata deve esistere una matrice di tuning che definisca:</w:t>
      </w:r>
    </w:p>
    <w:p>
      <w:pPr>
        <w:pStyle w:val="ListBullet"/>
      </w:pPr>
      <w:r>
        <w:t>mine_count consentiti</w:t>
      </w:r>
    </w:p>
    <w:p>
      <w:pPr>
        <w:pStyle w:val="ListBullet"/>
      </w:pPr>
      <w:r>
        <w:t>moltiplicatori netti per reveal progressivo</w:t>
      </w:r>
    </w:p>
    <w:p>
      <w:pPr>
        <w:pStyle w:val="ListBullet"/>
      </w:pPr>
      <w:r>
        <w:t>cap massimo di payout per policy prodotto</w:t>
      </w:r>
    </w:p>
    <w:p>
      <w:pPr>
        <w:pStyle w:val="ListBullet"/>
      </w:pPr>
      <w:r>
        <w:t>flag di disponibilità per UI/admin</w:t>
      </w:r>
    </w:p>
    <w:p>
      <w:pPr>
        <w:pStyle w:val="Heading1"/>
      </w:pPr>
      <w:r>
        <w:t>4. Output richiesto prima dell'implementazione definitiva</w:t>
      </w:r>
    </w:p>
    <w:p>
      <w:pPr>
        <w:pStyle w:val="ListBullet"/>
      </w:pPr>
      <w:r>
        <w:t>Tabella completa di tuning per tutte le configurazioni supportate.</w:t>
      </w:r>
    </w:p>
    <w:p>
      <w:pPr>
        <w:pStyle w:val="ListBullet"/>
      </w:pPr>
      <w:r>
        <w:t>Simulazione Monte Carlo o equivalente per controllare RTP/edge effettivo.</w:t>
      </w:r>
    </w:p>
    <w:p>
      <w:pPr>
        <w:pStyle w:val="ListBullet"/>
      </w:pPr>
      <w:r>
        <w:t>Confronto tra payout teorico e payout commercializzato.</w:t>
      </w:r>
    </w:p>
    <w:p>
      <w:pPr>
        <w:pStyle w:val="ListBullet"/>
      </w:pPr>
      <w:r>
        <w:t>Range bet e max win per demo.</w:t>
      </w:r>
    </w:p>
    <w:p>
      <w:pPr>
        <w:pStyle w:val="Heading1"/>
      </w:pPr>
      <w:r>
        <w:t>5. Decisione</w:t>
      </w:r>
    </w:p>
    <w:p>
      <w:r>
        <w:t>Il gioco non entra in implementazione definitiva del payout engine finché le tabelle non sono numericamente congelate e testate.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