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CasinoKing – Documento 09 v2</w:t>
      </w:r>
    </w:p>
    <w:p>
      <w:pPr>
        <w:jc w:val="center"/>
      </w:pPr>
      <w:r>
        <w:rPr>
          <w:b/>
          <w:color w:val="2F5597"/>
          <w:sz w:val="24"/>
        </w:rPr>
        <w:t>Mines – engine logico con testing strategy e concorrenza</w:t>
      </w:r>
    </w:p>
    <w:p>
      <w:pPr>
        <w:pStyle w:val="Heading1"/>
      </w:pPr>
      <w:r>
        <w:t>1. Cosa cambia rispetto alla v1</w:t>
      </w:r>
    </w:p>
    <w:p>
      <w:pPr>
        <w:pStyle w:val="ListBullet"/>
      </w:pPr>
      <w:r>
        <w:t>La testing strategy viene formalizzata.</w:t>
      </w:r>
    </w:p>
    <w:p>
      <w:pPr>
        <w:pStyle w:val="ListBullet"/>
      </w:pPr>
      <w:r>
        <w:t>I test di concorrenza diventano requisito esplicito.</w:t>
      </w:r>
    </w:p>
    <w:p>
      <w:pPr>
        <w:pStyle w:val="ListBullet"/>
      </w:pPr>
      <w:r>
        <w:t>Si distingue tra unit, integration, contract e concurrency tests.</w:t>
      </w:r>
    </w:p>
    <w:p>
      <w:pPr>
        <w:pStyle w:val="Heading1"/>
      </w:pPr>
      <w:r>
        <w:t>2. Strategia di test obbligatoria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Livello</w:t>
            </w:r>
          </w:p>
        </w:tc>
        <w:tc>
          <w:tcPr>
            <w:tcW w:type="dxa" w:w="2493"/>
            <w:shd w:fill="DCE6F1"/>
          </w:tcPr>
          <w:p>
            <w:r>
              <w:t>Obiettivo</w:t>
            </w:r>
          </w:p>
        </w:tc>
        <w:tc>
          <w:tcPr>
            <w:tcW w:type="dxa" w:w="2493"/>
            <w:shd w:fill="DCE6F1"/>
          </w:tcPr>
          <w:p>
            <w:r>
              <w:t>Esempi</w:t>
            </w:r>
          </w:p>
        </w:tc>
        <w:tc>
          <w:tcPr>
            <w:tcW w:type="dxa" w:w="2493"/>
            <w:shd w:fill="DCE6F1"/>
          </w:tcPr>
          <w:p>
            <w:r>
              <w:t>Obbligatorietà</w:t>
            </w:r>
          </w:p>
        </w:tc>
      </w:tr>
      <w:tr>
        <w:tc>
          <w:tcPr>
            <w:tcW w:type="dxa" w:w="2493"/>
          </w:tcPr>
          <w:p>
            <w:r>
              <w:t>Unit</w:t>
            </w:r>
          </w:p>
        </w:tc>
        <w:tc>
          <w:tcPr>
            <w:tcW w:type="dxa" w:w="2493"/>
          </w:tcPr>
          <w:p>
            <w:r>
              <w:t>Regole pure</w:t>
            </w:r>
          </w:p>
        </w:tc>
        <w:tc>
          <w:tcPr>
            <w:tcW w:type="dxa" w:w="2493"/>
          </w:tcPr>
          <w:p>
            <w:r>
              <w:t>state machine, payout lookup, validators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</w:tr>
      <w:tr>
        <w:tc>
          <w:tcPr>
            <w:tcW w:type="dxa" w:w="2493"/>
          </w:tcPr>
          <w:p>
            <w:r>
              <w:t>Integration</w:t>
            </w:r>
          </w:p>
        </w:tc>
        <w:tc>
          <w:tcPr>
            <w:tcW w:type="dxa" w:w="2493"/>
          </w:tcPr>
          <w:p>
            <w:r>
              <w:t>DB+service</w:t>
            </w:r>
          </w:p>
        </w:tc>
        <w:tc>
          <w:tcPr>
            <w:tcW w:type="dxa" w:w="2493"/>
          </w:tcPr>
          <w:p>
            <w:r>
              <w:t>start/reveal/cashout reali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</w:tr>
      <w:tr>
        <w:tc>
          <w:tcPr>
            <w:tcW w:type="dxa" w:w="2493"/>
          </w:tcPr>
          <w:p>
            <w:r>
              <w:t>Contract</w:t>
            </w:r>
          </w:p>
        </w:tc>
        <w:tc>
          <w:tcPr>
            <w:tcW w:type="dxa" w:w="2493"/>
          </w:tcPr>
          <w:p>
            <w:r>
              <w:t>API behavior</w:t>
            </w:r>
          </w:p>
        </w:tc>
        <w:tc>
          <w:tcPr>
            <w:tcW w:type="dxa" w:w="2493"/>
          </w:tcPr>
          <w:p>
            <w:r>
              <w:t>status codes, payload, auth</w:t>
            </w:r>
          </w:p>
        </w:tc>
        <w:tc>
          <w:tcPr>
            <w:tcW w:type="dxa" w:w="2493"/>
          </w:tcPr>
          <w:p>
            <w:r>
              <w:t>Media/Alta</w:t>
            </w:r>
          </w:p>
        </w:tc>
      </w:tr>
      <w:tr>
        <w:tc>
          <w:tcPr>
            <w:tcW w:type="dxa" w:w="2493"/>
          </w:tcPr>
          <w:p>
            <w:r>
              <w:t>Concurrency</w:t>
            </w:r>
          </w:p>
        </w:tc>
        <w:tc>
          <w:tcPr>
            <w:tcW w:type="dxa" w:w="2493"/>
          </w:tcPr>
          <w:p>
            <w:r>
              <w:t>Race conditions</w:t>
            </w:r>
          </w:p>
        </w:tc>
        <w:tc>
          <w:tcPr>
            <w:tcW w:type="dxa" w:w="2493"/>
          </w:tcPr>
          <w:p>
            <w:r>
              <w:t>double cashout, duplicate reveal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</w:tr>
    </w:tbl>
    <w:p>
      <w:pPr>
        <w:pStyle w:val="Heading1"/>
      </w:pPr>
      <w:r>
        <w:t>3. Casi di concorrenza minimi</w:t>
      </w:r>
    </w:p>
    <w:p>
      <w:pPr>
        <w:pStyle w:val="ListNumber"/>
      </w:pPr>
      <w:r>
        <w:t>Due cashout simultanei sulla stessa sessione → uno solo deve vincere.</w:t>
      </w:r>
    </w:p>
    <w:p>
      <w:pPr>
        <w:pStyle w:val="ListNumber"/>
      </w:pPr>
      <w:r>
        <w:t>Reveal simultanei sulla stessa cella → una sola request valida.</w:t>
      </w:r>
    </w:p>
    <w:p>
      <w:pPr>
        <w:pStyle w:val="ListNumber"/>
      </w:pPr>
      <w:r>
        <w:t>Reveal simultanei su celle diverse della stessa sessione → coerenza di stato garantita.</w:t>
      </w:r>
    </w:p>
    <w:p>
      <w:pPr>
        <w:pStyle w:val="ListNumber"/>
      </w:pPr>
      <w:r>
        <w:t>Start duplicato con stessa idempotency key → una sola game_session effettiva.</w:t>
      </w:r>
    </w:p>
    <w:p>
      <w:pPr>
        <w:pStyle w:val="Heading1"/>
      </w:pPr>
      <w:r>
        <w:t>4. Testing ledger collegato al gioco</w:t>
      </w:r>
    </w:p>
    <w:p>
      <w:pPr>
        <w:pStyle w:val="ListBullet"/>
      </w:pPr>
      <w:r>
        <w:t>Ogni start crea la transaction e i posting attesi.</w:t>
      </w:r>
    </w:p>
    <w:p>
      <w:pPr>
        <w:pStyle w:val="ListBullet"/>
      </w:pPr>
      <w:r>
        <w:t>Ogni win crea posting coerenti e aggiorna lo snapshot saldo.</w:t>
      </w:r>
    </w:p>
    <w:p>
      <w:pPr>
        <w:pStyle w:val="ListBullet"/>
      </w:pPr>
      <w:r>
        <w:t>Ogni loss non accredita impropriamente il player.</w:t>
      </w:r>
    </w:p>
    <w:p>
      <w:pPr>
        <w:pStyle w:val="ListBullet"/>
      </w:pPr>
      <w:r>
        <w:t>Reconciliation test: wallet snapshot = aggregato ledger dopo ogni scenario.</w:t>
      </w:r>
    </w:p>
    <w:p>
      <w:pPr>
        <w:pStyle w:val="Heading1"/>
      </w:pPr>
      <w:r>
        <w:t>5. Raccomandazioni implementative</w:t>
      </w:r>
    </w:p>
    <w:p>
      <w:pPr>
        <w:pStyle w:val="ListBullet"/>
      </w:pPr>
      <w:r>
        <w:t>Usare test integration con Postgres reale in container.</w:t>
      </w:r>
    </w:p>
    <w:p>
      <w:pPr>
        <w:pStyle w:val="ListBullet"/>
      </w:pPr>
      <w:r>
        <w:t>Eseguire test di concorrenza con richieste parallele vere.</w:t>
      </w:r>
    </w:p>
    <w:p>
      <w:pPr>
        <w:pStyle w:val="ListBullet"/>
      </w:pPr>
      <w:r>
        <w:t>Evitare di considerare sufficienti i soli mock unitari.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