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CasinoKing - Documento 13 v3</w:t>
      </w:r>
    </w:p>
    <w:p>
      <w:r>
        <w:t>SQL, migrations e seed definitivi (livello implementativo)</w:t>
      </w:r>
    </w:p>
    <w:p>
      <w:r>
        <w:br/>
        <w:t>Nota importante:</w:t>
      </w:r>
    </w:p>
    <w:p>
      <w:r>
        <w:t>Questo documento rappresenta la versione target di riferimento. Durante la fase di sviluppo potrebbe subire modifiche incrementali per adattarsi a esigenze implementative reali, ottimizzazioni o vincoli tecnici emersi.</w:t>
      </w:r>
    </w:p>
    <w:p>
      <w:r>
        <w:br/>
        <w:t>Contenuti principali:</w:t>
      </w:r>
    </w:p>
    <w:p>
      <w:r>
        <w:t>- DDL completo pronto per esecuzione</w:t>
      </w:r>
    </w:p>
    <w:p>
      <w:r>
        <w:t>- Piano dei conti iniziale (HOUSE, PLAYER, BONUS)</w:t>
      </w:r>
    </w:p>
    <w:p>
      <w:r>
        <w:t>- Script di creazione tabelle con vincoli</w:t>
      </w:r>
    </w:p>
    <w:p>
      <w:r>
        <w:t>- Esempi transazioni SQL (bet, win, bonus)</w:t>
      </w:r>
    </w:p>
    <w:p>
      <w:r>
        <w:t>- Strategia migrations incrementali</w:t>
      </w:r>
    </w:p>
    <w:p>
      <w:r>
        <w:t>- Seed data iniziali coerenti</w:t>
      </w:r>
    </w:p>
    <w:p>
      <w:r>
        <w:t>- Pattern idempotenza lato DB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