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Field report: pump station survey</w:t>
      </w:r>
    </w:p>
    <w:p>
      <w:pPr/>
      <w:r>
        <w:t xml:space="preserve">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w:t>
      </w:r>
    </w:p>
    <w:p>
      <w:pPr/>
      <w:r>
        <w:t xml:space="preserve">Lorem ipsum dolor sit amet, consectetur adipiscing elit. Integer nec odio. Praesent libero. Sed cursus ante dapibus diam. Sed nisi. Nulla quis sem at nibh elementum imperdiet. Duis sagittis ipsum. Pra The photograph below was taken on site.</w:t>
      </w:r>
    </w:p>
    <w:p>
      <w:pPr>
        <w:jc w:val="center"/>
      </w:pPr>
      <w:r>
        <w:drawing>
          <wp:inline distT="0" distB="0" distL="0" distR="0">
            <wp:extent cx="3429000" cy="2286000"/>
            <wp:docPr id="1" name="Picture 1"/>
            <a:graphic>
              <a:graphicData uri="http://schemas.openxmlformats.org/drawingml/2006/picture">
                <pic:pic>
                  <pic:nvPicPr>
                    <pic:cNvPr id="1" name="Picture 1"/>
                    <pic:cNvPicPr/>
                  </pic:nvPicPr>
                  <pic:blipFill>
                    <a:blip r:embed="rId2"/>
                    <a:stretch>
                      <a:fillRect/>
                    </a:stretch>
                  </pic:blipFill>
                  <pic:spPr>
                    <a:xfrm>
                      <a:off x="0" y="0"/>
                      <a:ext cx="3429000" cy="2286000"/>
                    </a:xfrm>
                    <a:prstGeom prst="rect">
                      <a:avLst/>
                    </a:prstGeom>
                  </pic:spPr>
                </pic:pic>
              </a:graphicData>
            </a:graphic>
          </wp:inline>
        </w:drawing>
      </w:r>
    </w:p>
    <w:p>
      <w:pPr>
        <w:jc w:val="center"/>
      </w:pPr>
      <w:r>
        <w:t xml:space="preserve">Figure 1. Overview of the installation.</w:t>
      </w:r>
    </w:p>
    <w:p>
      <w:pPr/>
      <w:r>
        <w:drawing>
          <wp:anchor distT="0" distB="0" distL="114300" distR="114300" simplePos="0" relativeHeight="2" behindDoc="0" locked="0" layoutInCell="1" allowOverlap="1">
            <wp:simplePos x="0" y="0"/>
            <wp:positionH relativeFrom="margin">
              <wp:align>right</wp:align>
            </wp:positionH>
            <wp:positionV relativeFrom="paragraph">
              <wp:posOffset>0</wp:posOffset>
            </wp:positionV>
            <wp:extent cx="2286000" cy="1524000"/>
            <wp:wrapSquare wrapText="left"/>
            <wp:docPr id="2" name="Picture 2"/>
            <a:graphic>
              <a:graphicData uri="http://schemas.openxmlformats.org/drawingml/2006/picture">
                <pic:pic>
                  <pic:nvPicPr>
                    <pic:cNvPr id="2" name="Picture 2"/>
                    <pic:cNvPicPr/>
                  </pic:nvPicPr>
                  <pic:blipFill>
                    <a:blip r:embed="rId2"/>
                    <a:stretch>
                      <a:fillRect/>
                    </a:stretch>
                  </pic:blipFill>
                  <pic:spPr>
                    <a:xfrm>
                      <a:off x="0" y="0"/>
                      <a:ext cx="2286000" cy="1524000"/>
                    </a:xfrm>
                    <a:prstGeom prst="rect">
                      <a:avLst/>
                    </a:prstGeom>
                  </pic:spPr>
                </pic:pic>
              </a:graphicData>
            </a:graphic>
          </wp:anchor>
        </w:drawing>
      </w:r>
      <w:r>
        <w:t xml:space="preserve">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w:t>
      </w:r>
    </w:p>
    <w:p>
      <w:pPr/>
      <w:r>
        <w:t xml:space="preserve">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w:t>
      </w:r>
    </w:p>
    <w:p>
      <w:pPr>
        <w:numPr>
          <w:ilvl w:val="0"/>
          <w:numId w:val="1"/>
        </w:numPr>
      </w:pPr>
      <w:r>
        <w:t>Check the relief valve seating.</w:t>
      </w:r>
    </w:p>
    <w:p>
      <w:pPr>
        <w:numPr>
          <w:ilvl w:val="0"/>
          <w:numId w:val="1"/>
        </w:numPr>
      </w:pPr>
      <w:r>
        <w:t>Replace the intake filter sock.</w:t>
      </w:r>
    </w:p>
    <w:p>
      <w:pPr>
        <w:numPr>
          <w:ilvl w:val="0"/>
          <w:numId w:val="1"/>
        </w:numPr>
      </w:pPr>
      <w:r>
        <w:t>Log the commutator resistance.</w:t>
      </w:r>
    </w:p>
    <w:p>
      <w:pPr/>
      <w:r>
        <w:t xml:space="preserve">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120"/>
    </w:pPr>
    <w:rPr>
      <w:rFonts w:ascii="Calibri Light" w:hAnsi="Calibri Light"/>
      <w:color w:val="2F5496"/>
      <w:sz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s>
</file>