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СПИСОК ИСПОЛЬЗОВАННЫХ ИСТОЧНИКОВ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 w:eastAsia="zh-CN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en-US" w:eastAsia="zh-CN"/>
        </w:rPr>
        <w:instrText xml:space="preserve"> HYPERLINK "https://topspin.pro/" </w:instrText>
      </w:r>
      <w:r>
        <w:rPr>
          <w:rFonts w:hint="default" w:ascii="Times New Roman" w:hAnsi="Times New Roman"/>
          <w:sz w:val="28"/>
          <w:szCs w:val="28"/>
          <w:lang w:val="en-US" w:eastAsia="zh-CN"/>
        </w:rPr>
        <w:fldChar w:fldCharType="separate"/>
      </w:r>
      <w:r>
        <w:rPr>
          <w:rFonts w:hint="default" w:ascii="Times New Roman" w:hAnsi="Times New Roman"/>
          <w:sz w:val="28"/>
          <w:szCs w:val="28"/>
          <w:lang w:val="en-US"/>
        </w:rPr>
        <w:t>TOPSPIN.PRO</w:t>
      </w:r>
      <w:r>
        <w:rPr>
          <w:rFonts w:hint="default" w:ascii="Times New Roman" w:hAnsi="Times New Roman"/>
          <w:sz w:val="28"/>
          <w:szCs w:val="28"/>
          <w:lang w:val="en-US" w:eastAsia="zh-CN"/>
        </w:rPr>
        <w:fldChar w:fldCharType="end"/>
      </w:r>
      <w:r>
        <w:rPr>
          <w:rFonts w:hint="default" w:ascii="Times New Roman" w:hAnsi="Times New Roman"/>
          <w:sz w:val="28"/>
          <w:szCs w:val="28"/>
          <w:lang w:val="ru-RU" w:eastAsia="zh-CN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>[Электронный ресурс].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 w:eastAsia="zh-CN"/>
        </w:rPr>
        <w:t xml:space="preserve">— URL: </w:t>
      </w:r>
      <w:r>
        <w:rPr>
          <w:rFonts w:hint="default" w:ascii="Times New Roman" w:hAnsi="Times New Roman"/>
          <w:sz w:val="28"/>
          <w:szCs w:val="28"/>
          <w:lang w:val="ru-RU"/>
        </w:rPr>
        <w:t>https://topspin.pro/market/badminton_pushki/</w:t>
      </w:r>
      <w:r>
        <w:rPr>
          <w:rFonts w:hint="default" w:ascii="Times New Roman" w:hAnsi="Times New Roman"/>
          <w:sz w:val="28"/>
          <w:szCs w:val="28"/>
          <w:lang w:val="ru-RU" w:eastAsia="zh-CN"/>
        </w:rPr>
        <w:t xml:space="preserve"> (дата обращения 2022-02-</w:t>
      </w:r>
      <w:r>
        <w:rPr>
          <w:rFonts w:hint="default" w:ascii="Times New Roman" w:hAnsi="Times New Roman"/>
          <w:sz w:val="28"/>
          <w:szCs w:val="28"/>
          <w:lang w:val="en-US" w:eastAsia="zh-CN"/>
        </w:rPr>
        <w:t>10</w:t>
      </w:r>
      <w:r>
        <w:rPr>
          <w:rFonts w:hint="default" w:ascii="Times New Roman" w:hAnsi="Times New Roman"/>
          <w:sz w:val="28"/>
          <w:szCs w:val="28"/>
          <w:lang w:val="ru-RU" w:eastAsia="zh-CN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 w:eastAsia="zh-CN"/>
        </w:rPr>
        <w:t>Коновалов И.Е. Технология формирования тактико-технических навыков спортсменов в теннисе и бадминтоне с помощью устройств дополненной реальности / И.Е. Коновалов, В.Е. Афоньшин, М.М. Полевщиков // Наука и спорт: современные тенденции. – 2020. – Т. 8, № 1. – С. 19-24. DOI: 10.36028/2308-8826-2019-8-1-19-24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The Tech Race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en-US"/>
        </w:rPr>
        <w:instrText xml:space="preserve"> HYPERLINK "https://olympics.com/en/original-series/episode/20-20-vision-a-clear-view-of-badminton-technology" </w:instrTex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separate"/>
      </w:r>
      <w:r>
        <w:rPr>
          <w:rFonts w:hint="default" w:ascii="Times New Roman" w:hAnsi="Times New Roman"/>
          <w:sz w:val="28"/>
          <w:szCs w:val="28"/>
          <w:lang w:val="en-US"/>
        </w:rPr>
        <w:t>S1 - EP 29 - 20:20 vision: A clear view of Badminton technology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end"/>
      </w:r>
      <w:r>
        <w:rPr>
          <w:rFonts w:hint="default" w:ascii="Times New Roman" w:hAnsi="Times New Roman"/>
          <w:sz w:val="28"/>
          <w:szCs w:val="28"/>
          <w:lang w:val="ru-RU" w:eastAsia="zh-CN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>[Электронный ресурс].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 w:eastAsia="zh-CN"/>
        </w:rPr>
        <w:t xml:space="preserve">— URL: </w:t>
      </w:r>
      <w:r>
        <w:rPr>
          <w:rFonts w:hint="default" w:ascii="Times New Roman" w:hAnsi="Times New Roman"/>
          <w:sz w:val="28"/>
          <w:szCs w:val="28"/>
          <w:lang w:val="ru-RU"/>
        </w:rPr>
        <w:t>https://olympics.com/en/original-series/episode/20-20-vision-a-clear-view-of-badminton-technology</w:t>
      </w:r>
      <w:r>
        <w:rPr>
          <w:rFonts w:hint="default" w:ascii="Times New Roman" w:hAnsi="Times New Roman"/>
          <w:sz w:val="28"/>
          <w:szCs w:val="28"/>
          <w:lang w:val="ru-RU" w:eastAsia="zh-CN"/>
        </w:rPr>
        <w:t xml:space="preserve"> (дата обращения 2022-02-</w:t>
      </w:r>
      <w:r>
        <w:rPr>
          <w:rFonts w:hint="default" w:ascii="Times New Roman" w:hAnsi="Times New Roman"/>
          <w:sz w:val="28"/>
          <w:szCs w:val="28"/>
          <w:lang w:val="en-US" w:eastAsia="zh-CN"/>
        </w:rPr>
        <w:t>11</w:t>
      </w:r>
      <w:r>
        <w:rPr>
          <w:rFonts w:hint="default" w:ascii="Times New Roman" w:hAnsi="Times New Roman"/>
          <w:sz w:val="28"/>
          <w:szCs w:val="28"/>
          <w:lang w:val="ru-RU" w:eastAsia="zh-CN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 w:eastAsia="zh-CN"/>
        </w:rPr>
        <w:t>Shreeharsh Kelkar. The Power of Sight: The Case of Hawk-Eye in Tennis (англ.). — 2012. — 14 p.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Badminton: How to play, rules, and all you need to know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. By Olympic Channel </w:t>
      </w:r>
      <w:r>
        <w:rPr>
          <w:rFonts w:hint="default" w:ascii="Times New Roman" w:hAnsi="Times New Roman"/>
          <w:sz w:val="28"/>
          <w:szCs w:val="28"/>
          <w:lang w:val="ru-RU"/>
        </w:rPr>
        <w:t>[Электронный ресурс].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 w:eastAsia="zh-CN"/>
        </w:rPr>
        <w:t xml:space="preserve">— URL: </w:t>
      </w:r>
      <w:r>
        <w:rPr>
          <w:rFonts w:hint="default" w:ascii="Times New Roman" w:hAnsi="Times New Roman"/>
          <w:sz w:val="28"/>
          <w:szCs w:val="28"/>
          <w:lang w:val="ru-RU"/>
        </w:rPr>
        <w:t>https://olympics.com/en/featured-news/badminton-guide-how-to-play-rules-olympic-history</w:t>
      </w:r>
      <w:r>
        <w:rPr>
          <w:rFonts w:hint="default" w:ascii="Times New Roman" w:hAnsi="Times New Roman"/>
          <w:sz w:val="28"/>
          <w:szCs w:val="28"/>
          <w:lang w:val="ru-RU" w:eastAsia="zh-CN"/>
        </w:rPr>
        <w:t xml:space="preserve"> (дата обращения 2022-02-</w:t>
      </w:r>
      <w:r>
        <w:rPr>
          <w:rFonts w:hint="default" w:ascii="Times New Roman" w:hAnsi="Times New Roman"/>
          <w:sz w:val="28"/>
          <w:szCs w:val="28"/>
          <w:lang w:val="en-US" w:eastAsia="zh-CN"/>
        </w:rPr>
        <w:t>13</w:t>
      </w:r>
      <w:r>
        <w:rPr>
          <w:rFonts w:hint="default" w:ascii="Times New Roman" w:hAnsi="Times New Roman"/>
          <w:sz w:val="28"/>
          <w:szCs w:val="28"/>
          <w:lang w:val="ru-RU" w:eastAsia="zh-CN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 w:eastAsia="zh-CN"/>
        </w:rPr>
        <w:t xml:space="preserve">Портал магистров ДонНТУ. Реферат по теме выпускной работы Куксина И.Ю. [Электронный ресурс]. — URL: https://masters.donntu.org/2013/etf/kuksin/diss/index.htm (дата обращения 2021-09- 02)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Документация на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Arduino Pro Mini  </w:t>
      </w:r>
      <w:r>
        <w:rPr>
          <w:rFonts w:hint="default" w:ascii="Times New Roman" w:hAnsi="Times New Roman"/>
          <w:sz w:val="28"/>
          <w:szCs w:val="28"/>
          <w:lang w:val="ru-RU" w:eastAsia="zh-CN"/>
        </w:rPr>
        <w:t xml:space="preserve">[Электронный ресурс]. — URL: </w:t>
      </w:r>
      <w:r>
        <w:rPr>
          <w:rFonts w:hint="default" w:ascii="Times New Roman" w:hAnsi="Times New Roman"/>
          <w:sz w:val="28"/>
          <w:szCs w:val="28"/>
          <w:lang w:val="en-US"/>
        </w:rPr>
        <w:t>https://docs.arduino.cc/retired/boards/arduino-pro-mini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 w:eastAsia="zh-CN"/>
        </w:rPr>
        <w:t>(дата обращения 2021-10-01)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Документация на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ATMega328P  </w:t>
      </w:r>
      <w:r>
        <w:rPr>
          <w:rFonts w:hint="default" w:ascii="Times New Roman" w:hAnsi="Times New Roman"/>
          <w:sz w:val="28"/>
          <w:szCs w:val="28"/>
          <w:lang w:val="ru-RU" w:eastAsia="zh-CN"/>
        </w:rPr>
        <w:t>[Электронный ресурс]. — URL:</w:t>
      </w:r>
      <w:r>
        <w:rPr>
          <w:rFonts w:hint="default" w:ascii="Times New Roman" w:hAnsi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en-US"/>
        </w:rPr>
        <w:t>https://www.microchip.com/content/dam/mchp/documents/MCU08/ProductDocuments/DataSheets/Atmel-7810-Automotive-Microcontrollers-ATmega328P_Datasheet.pdf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 w:eastAsia="zh-CN"/>
        </w:rPr>
        <w:t>(дата обращения 2021-10-01)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Документация на CD74HC4067 </w:t>
      </w:r>
      <w:r>
        <w:rPr>
          <w:rFonts w:hint="default" w:ascii="Times New Roman" w:hAnsi="Times New Roman"/>
          <w:sz w:val="28"/>
          <w:szCs w:val="28"/>
          <w:lang w:val="ru-RU" w:eastAsia="zh-CN"/>
        </w:rPr>
        <w:t>[Электронный ресурс]. — URL:</w:t>
      </w:r>
      <w:r>
        <w:rPr>
          <w:rFonts w:hint="default" w:ascii="Times New Roman" w:hAnsi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t xml:space="preserve">https://www.ti.com/lit/ds/symlink/cd74hc4067.pdf </w:t>
      </w:r>
      <w:r>
        <w:rPr>
          <w:rFonts w:hint="default" w:ascii="Times New Roman" w:hAnsi="Times New Roman"/>
          <w:sz w:val="28"/>
          <w:szCs w:val="28"/>
          <w:lang w:val="ru-RU" w:eastAsia="zh-CN"/>
        </w:rPr>
        <w:t>(дата обращения 2021-10-01)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Документация на </w:t>
      </w:r>
      <w:r>
        <w:rPr>
          <w:rFonts w:hint="default" w:ascii="Times New Roman" w:hAnsi="Times New Roman"/>
          <w:sz w:val="28"/>
          <w:szCs w:val="28"/>
          <w:lang w:val="ru-RU" w:eastAsia="en-US"/>
        </w:rPr>
        <w:t xml:space="preserve">GNL-3012HD </w:t>
      </w:r>
      <w:r>
        <w:rPr>
          <w:rFonts w:hint="default" w:ascii="Times New Roman" w:hAnsi="Times New Roman"/>
          <w:sz w:val="28"/>
          <w:szCs w:val="28"/>
          <w:lang w:val="ru-RU" w:eastAsia="zh-CN"/>
        </w:rPr>
        <w:t xml:space="preserve">[Электронный ресурс]. — URL: </w:t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t xml:space="preserve">https://static.chipdip.ru/lib/773/DOC002773602.pdf </w:t>
      </w:r>
      <w:r>
        <w:rPr>
          <w:rFonts w:hint="default" w:ascii="Times New Roman" w:hAnsi="Times New Roman"/>
          <w:sz w:val="28"/>
          <w:szCs w:val="28"/>
          <w:lang w:val="ru-RU" w:eastAsia="zh-CN"/>
        </w:rPr>
        <w:t>(дата обращения 2021-10-01)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Документация на резисторы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MF </w:t>
      </w:r>
      <w:r>
        <w:rPr>
          <w:rFonts w:hint="default" w:ascii="Times New Roman" w:hAnsi="Times New Roman"/>
          <w:sz w:val="28"/>
          <w:szCs w:val="28"/>
          <w:lang w:val="ru-RU" w:eastAsia="zh-CN"/>
        </w:rPr>
        <w:t xml:space="preserve">[Электронный ресурс]. — URL: </w:t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t xml:space="preserve">https://static.chipdip.ru/lib/336/DOC014336148.pdf </w:t>
      </w:r>
      <w:r>
        <w:rPr>
          <w:rFonts w:hint="default" w:ascii="Times New Roman" w:hAnsi="Times New Roman"/>
          <w:sz w:val="28"/>
          <w:szCs w:val="28"/>
          <w:lang w:val="ru-RU" w:eastAsia="zh-CN"/>
        </w:rPr>
        <w:t>(дата обращения 2021-10-01)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Документация на резисторы С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F </w:t>
      </w:r>
      <w:r>
        <w:rPr>
          <w:rFonts w:hint="default" w:ascii="Times New Roman" w:hAnsi="Times New Roman"/>
          <w:sz w:val="28"/>
          <w:szCs w:val="28"/>
          <w:lang w:val="ru-RU" w:eastAsia="zh-CN"/>
        </w:rPr>
        <w:t xml:space="preserve">[Электронный ресурс]. — URL: </w:t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t xml:space="preserve">https://static.chipdip.ru/lib/336/DOC014336146.pdf </w:t>
      </w:r>
      <w:r>
        <w:rPr>
          <w:rFonts w:hint="default" w:ascii="Times New Roman" w:hAnsi="Times New Roman"/>
          <w:sz w:val="28"/>
          <w:szCs w:val="28"/>
          <w:lang w:val="ru-RU" w:eastAsia="zh-CN"/>
        </w:rPr>
        <w:t>(дата обращения 2021-10-01)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Документация на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HC-05 </w:t>
      </w:r>
      <w:r>
        <w:rPr>
          <w:rFonts w:hint="default" w:ascii="Times New Roman" w:hAnsi="Times New Roman"/>
          <w:sz w:val="28"/>
          <w:szCs w:val="28"/>
          <w:lang w:val="ru-RU" w:eastAsia="zh-CN"/>
        </w:rPr>
        <w:t xml:space="preserve">[Электронный ресурс]. — URL: </w:t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en-US"/>
        </w:rPr>
        <w:t>http://wiki.amperka.ru/_media/продукты:troyka-bluetooth:troyka-bluetooth_datasheet.pdf</w:t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 w:eastAsia="zh-CN"/>
        </w:rPr>
        <w:t>(дата обращения 2021-10-01)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Электронный модуль «Bluetooth модуль HC-05»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. Технические данные и руководство пользователя </w:t>
      </w:r>
      <w:r>
        <w:rPr>
          <w:rFonts w:hint="default" w:ascii="Times New Roman" w:hAnsi="Times New Roman"/>
          <w:sz w:val="28"/>
          <w:szCs w:val="28"/>
          <w:lang w:val="ru-RU" w:eastAsia="zh-CN"/>
        </w:rPr>
        <w:t xml:space="preserve">[Электронный ресурс]. — URL: 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  <w:t>https://academy.evolvector.ru/baza/datasheet/%D0%9F%D0%AD%D0%9C100061-Bluetooth.pdf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 w:eastAsia="zh-CN"/>
        </w:rPr>
        <w:t>(дата обращения 2021-10-01)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 w:eastAsia="zh-CN"/>
        </w:rPr>
        <w:t>Самые популярные операционные системы мира 2020 [Электронный ресурс]. — URL: https://marketer.ua/stats-operating-system-2020/ (дата обращения  202</w:t>
      </w:r>
      <w:r>
        <w:rPr>
          <w:rFonts w:hint="default" w:ascii="Times New Roman" w:hAnsi="Times New Roman"/>
          <w:sz w:val="28"/>
          <w:szCs w:val="28"/>
          <w:lang w:val="en-US" w:eastAsia="zh-CN"/>
        </w:rPr>
        <w:t>2</w:t>
      </w:r>
      <w:r>
        <w:rPr>
          <w:rFonts w:hint="default" w:ascii="Times New Roman" w:hAnsi="Times New Roman"/>
          <w:sz w:val="28"/>
          <w:szCs w:val="28"/>
          <w:lang w:val="ru-RU" w:eastAsia="zh-CN"/>
        </w:rPr>
        <w:t>-</w:t>
      </w:r>
      <w:r>
        <w:rPr>
          <w:rFonts w:hint="default" w:ascii="Times New Roman" w:hAnsi="Times New Roman"/>
          <w:sz w:val="28"/>
          <w:szCs w:val="28"/>
          <w:lang w:val="en-US" w:eastAsia="zh-CN"/>
        </w:rPr>
        <w:t>02</w:t>
      </w:r>
      <w:r>
        <w:rPr>
          <w:rFonts w:hint="default" w:ascii="Times New Roman" w:hAnsi="Times New Roman"/>
          <w:sz w:val="28"/>
          <w:szCs w:val="28"/>
          <w:lang w:val="ru-RU" w:eastAsia="zh-CN"/>
        </w:rPr>
        <w:t>-10)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/>
          <w:sz w:val="28"/>
          <w:szCs w:val="28"/>
          <w:lang w:val="ru-RU" w:eastAsia="zh-CN"/>
        </w:rPr>
        <w:t>Android Developers [Электронный ресурс]. — URL: https://developer.android.com/ (дата обращения 202</w:t>
      </w:r>
      <w:r>
        <w:rPr>
          <w:rFonts w:hint="default" w:ascii="Times New Roman" w:hAnsi="Times New Roman"/>
          <w:sz w:val="28"/>
          <w:szCs w:val="28"/>
          <w:lang w:val="en-US" w:eastAsia="zh-CN"/>
        </w:rPr>
        <w:t>2</w:t>
      </w:r>
      <w:r>
        <w:rPr>
          <w:rFonts w:hint="default" w:ascii="Times New Roman" w:hAnsi="Times New Roman"/>
          <w:sz w:val="28"/>
          <w:szCs w:val="28"/>
          <w:lang w:val="ru-RU" w:eastAsia="zh-CN"/>
        </w:rPr>
        <w:t>-</w:t>
      </w:r>
      <w:r>
        <w:rPr>
          <w:rFonts w:hint="default" w:ascii="Times New Roman" w:hAnsi="Times New Roman"/>
          <w:sz w:val="28"/>
          <w:szCs w:val="28"/>
          <w:lang w:val="en-US" w:eastAsia="zh-CN"/>
        </w:rPr>
        <w:t>02</w:t>
      </w:r>
      <w:r>
        <w:rPr>
          <w:rFonts w:hint="default" w:ascii="Times New Roman" w:hAnsi="Times New Roman"/>
          <w:sz w:val="28"/>
          <w:szCs w:val="28"/>
          <w:lang w:val="ru-RU" w:eastAsia="zh-CN"/>
        </w:rPr>
        <w:t>-10)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 w:eastAsia="zh-CN"/>
        </w:rPr>
        <w:t>Как выбрать язык программирования для создания Андроид — приложения</w:t>
      </w:r>
      <w:r>
        <w:rPr>
          <w:rFonts w:hint="default" w:ascii="Times New Roman" w:hAnsi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 w:eastAsia="zh-CN"/>
        </w:rPr>
        <w:t>[Электронный ресурс]. — URL: https://habr.com/ru/post/477578/ (дата обращения 202</w:t>
      </w:r>
      <w:r>
        <w:rPr>
          <w:rFonts w:hint="default" w:ascii="Times New Roman" w:hAnsi="Times New Roman"/>
          <w:sz w:val="28"/>
          <w:szCs w:val="28"/>
          <w:lang w:val="en-US" w:eastAsia="zh-CN"/>
        </w:rPr>
        <w:t>2</w:t>
      </w:r>
      <w:r>
        <w:rPr>
          <w:rFonts w:hint="default" w:ascii="Times New Roman" w:hAnsi="Times New Roman"/>
          <w:sz w:val="28"/>
          <w:szCs w:val="28"/>
          <w:lang w:val="ru-RU" w:eastAsia="zh-CN"/>
        </w:rPr>
        <w:t>-</w:t>
      </w:r>
      <w:r>
        <w:rPr>
          <w:rFonts w:hint="default" w:ascii="Times New Roman" w:hAnsi="Times New Roman"/>
          <w:sz w:val="28"/>
          <w:szCs w:val="28"/>
          <w:lang w:val="en-US" w:eastAsia="zh-CN"/>
        </w:rPr>
        <w:t>02</w:t>
      </w:r>
      <w:r>
        <w:rPr>
          <w:rFonts w:hint="default" w:ascii="Times New Roman" w:hAnsi="Times New Roman"/>
          <w:sz w:val="28"/>
          <w:szCs w:val="28"/>
          <w:lang w:val="ru-RU" w:eastAsia="zh-CN"/>
        </w:rPr>
        <w:t>-10)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 w:eastAsia="zh-CN"/>
        </w:rPr>
        <w:t>Android Developers</w:t>
      </w:r>
      <w:r>
        <w:rPr>
          <w:rFonts w:hint="default" w:ascii="Times New Roman" w:hAnsi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 w:eastAsia="zh-CN"/>
        </w:rPr>
        <w:t>[Электронный ресурс]. — URL: https://developer.android.com/ (дата обращения 2022-02-12)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Kotlin vs Java </w:t>
      </w:r>
      <w:r>
        <w:rPr>
          <w:rFonts w:hint="default" w:ascii="Times New Roman" w:hAnsi="Times New Roman"/>
          <w:sz w:val="28"/>
          <w:szCs w:val="28"/>
          <w:lang w:val="ru-RU" w:eastAsia="zh-CN"/>
        </w:rPr>
        <w:t>[Электронный ресурс].  — URL: https://www.imaginarycloud.com/blog/kotlin-vs-java/#1 (дата обращения 2022-02-12)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 w:eastAsia="zh-CN"/>
        </w:rPr>
        <w:t>Иванова Г.С., Ничушкина Т.Н. Тестирование программного обеспечения. Методические указания по выполнению лабораторной работы  по дисциплине «Технология разработки программных систем». — 2019. — 13с.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ГОСТ 2.730-73. Единая система конструкторской документации. Обозначения условные графические в схемах. Приборы полупроводниковые.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ГОСТ 2.728-74. Единая система конструкторской документации. Обозначения условные графические в схемах. Резисторы, конденсаторы.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ГОСТ 2.710-81. Единая система конструкторской документации. Обозначения буквенно-цифровые в электрических схемах.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ГОСТ 2.755-87. Едина</w:t>
      </w:r>
      <w:bookmarkStart w:id="0" w:name="_GoBack"/>
      <w:bookmarkEnd w:id="0"/>
      <w:r>
        <w:rPr>
          <w:rFonts w:hint="default" w:ascii="Times New Roman" w:hAnsi="Times New Roman"/>
          <w:sz w:val="28"/>
          <w:szCs w:val="28"/>
          <w:lang w:val="ru-RU"/>
        </w:rPr>
        <w:t>я система конструкторской документации. Обозначения условные графические в схемах. Устройства коммутационные и контактные соединения.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ГОСТ 2.702-2011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/>
          <w:sz w:val="28"/>
          <w:szCs w:val="28"/>
          <w:lang w:val="ru-RU"/>
        </w:rPr>
        <w:t>Единая система конструкторской документации. Правила выполнения электрических схем.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 w:eastAsia="zh-CN"/>
        </w:rPr>
        <w:t>ГОСТ 7.32-2017. Отчет о научно-исследовательской работе. Структура и  правила оформления.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 w:eastAsia="zh-CN"/>
        </w:rPr>
        <w:t xml:space="preserve">Android </w:t>
      </w:r>
      <w:r>
        <w:rPr>
          <w:rFonts w:hint="default" w:ascii="Times New Roman" w:hAnsi="Times New Roman"/>
          <w:sz w:val="28"/>
          <w:szCs w:val="28"/>
          <w:lang w:val="en-US" w:eastAsia="zh-CN"/>
        </w:rPr>
        <w:t>[</w:t>
      </w:r>
      <w:r>
        <w:rPr>
          <w:rFonts w:hint="default" w:ascii="Times New Roman" w:hAnsi="Times New Roman"/>
          <w:sz w:val="28"/>
          <w:szCs w:val="28"/>
          <w:lang w:val="ru-RU" w:eastAsia="zh-CN"/>
        </w:rPr>
        <w:t>Электронный ресурс]. — URL: https://www.android.com/ (дата обращения 2022-02-12)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ru-RU"/>
        </w:rPr>
        <w:instrText xml:space="preserve"> HYPERLINK "https://www.youtube.com/watch?v=cT1xw9p7Xek" </w:instrTex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separate"/>
      </w:r>
      <w:r>
        <w:rPr>
          <w:rStyle w:val="6"/>
          <w:rFonts w:hint="default" w:ascii="Times New Roman" w:hAnsi="Times New Roman"/>
          <w:sz w:val="28"/>
          <w:szCs w:val="28"/>
          <w:lang w:val="ru-RU"/>
        </w:rPr>
        <w:t>https://www.youtube.com/watch?v=cT1xw9p7Xek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https://www.youtube.com/watch?v=0W7FqDBD7Ts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"https://www.proquest.com/openview/b7639530b4d56040ad19f7377a0a700b/1.pdf?pq-origsite=gscholar&amp;cbl=40505"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https://www.proquest.com/openview/b7639530b4d56040ad19f7377a0a700b/1.pdf?pq-origsite=gscholar&amp;cbl=40505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 w:line="190" w:lineRule="atLeast"/>
        <w:ind w:left="0" w:right="1000" w:firstLine="0"/>
        <w:outlineLvl w:val="9"/>
        <w:rPr>
          <w:rFonts w:ascii="Arial" w:hAnsi="Arial" w:cs="Arial"/>
          <w:b w:val="0"/>
          <w:bCs w:val="0"/>
          <w:i w:val="0"/>
          <w:iCs w:val="0"/>
          <w:caps w:val="0"/>
          <w:color w:val="222222"/>
          <w:spacing w:val="0"/>
          <w:sz w:val="17"/>
          <w:szCs w:val="17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1A0DAB"/>
          <w:spacing w:val="0"/>
          <w:sz w:val="17"/>
          <w:szCs w:val="17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1A0DAB"/>
          <w:spacing w:val="0"/>
          <w:sz w:val="17"/>
          <w:szCs w:val="17"/>
          <w:u w:val="none"/>
          <w:shd w:val="clear" w:fill="FFFFFF"/>
        </w:rPr>
        <w:instrText xml:space="preserve"> HYPERLINK "https://go.gale.com/ps/i.do?id=GALE|A12842873&amp;sid=googleScholar&amp;v=2.1&amp;it=r&amp;linkaccess=abs&amp;issn=00256501&amp;p=AONE&amp;sw=w" </w:instrTex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1A0DAB"/>
          <w:spacing w:val="0"/>
          <w:sz w:val="17"/>
          <w:szCs w:val="17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b w:val="0"/>
          <w:bCs w:val="0"/>
          <w:i w:val="0"/>
          <w:iCs w:val="0"/>
          <w:caps w:val="0"/>
          <w:color w:val="1A0DAB"/>
          <w:spacing w:val="0"/>
          <w:sz w:val="17"/>
          <w:szCs w:val="17"/>
          <w:u w:val="none"/>
          <w:shd w:val="clear" w:fill="FFFFFF"/>
        </w:rPr>
        <w:t>Electronic linesmen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1A0DAB"/>
          <w:spacing w:val="0"/>
          <w:sz w:val="17"/>
          <w:szCs w:val="17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006621"/>
          <w:spacing w:val="0"/>
          <w:sz w:val="13"/>
          <w:szCs w:val="13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06621"/>
          <w:spacing w:val="0"/>
          <w:kern w:val="0"/>
          <w:sz w:val="13"/>
          <w:szCs w:val="13"/>
          <w:shd w:val="clear" w:fill="FFFFFF"/>
          <w:lang w:val="en-US" w:eastAsia="zh-CN" w:bidi="ar"/>
        </w:rPr>
        <w:t>L O'Connor - Mechanical Engineering-CIME, 1992 - go.gale.com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</w:rPr>
        <w:t>http://tvskit.narod.ru/stati/stati21/stati21.html</w:t>
      </w:r>
    </w:p>
    <w:sectPr>
      <w:pgSz w:w="11906" w:h="16838"/>
      <w:pgMar w:top="1134" w:right="567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9A0DF0"/>
    <w:multiLevelType w:val="singleLevel"/>
    <w:tmpl w:val="039A0DF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EC6B9D"/>
    <w:rsid w:val="10CF570E"/>
    <w:rsid w:val="28BF35C4"/>
    <w:rsid w:val="28C82EF3"/>
    <w:rsid w:val="2B940590"/>
    <w:rsid w:val="2C0D7693"/>
    <w:rsid w:val="2D035001"/>
    <w:rsid w:val="388D5D6F"/>
    <w:rsid w:val="40BC3C9E"/>
    <w:rsid w:val="42F47EB2"/>
    <w:rsid w:val="44DA759D"/>
    <w:rsid w:val="455677D2"/>
    <w:rsid w:val="54EE7959"/>
    <w:rsid w:val="5950373F"/>
    <w:rsid w:val="5CE62FF7"/>
    <w:rsid w:val="622C2DE0"/>
    <w:rsid w:val="68CA5019"/>
    <w:rsid w:val="6ACD630F"/>
    <w:rsid w:val="710769EB"/>
    <w:rsid w:val="79807ECE"/>
    <w:rsid w:val="7AC6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uiPriority w:val="0"/>
    <w:rPr>
      <w:color w:val="800080"/>
      <w:u w:val="single"/>
    </w:rPr>
  </w:style>
  <w:style w:type="character" w:styleId="6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2021-08-29T14:23:00Z</dcterms:created>
  <dc:creator>Moroz</dc:creator>
  <cp:lastModifiedBy>google1581861332</cp:lastModifiedBy>
  <dcterms:modified xsi:type="dcterms:W3CDTF">2022-05-01T18:24:45Z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E9B90BDE2FE543EC8CFADC157063B19B</vt:lpwstr>
  </property>
</Properties>
</file>