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864"/>
          <w:sz w:val="44"/>
          <w:szCs w:val="44"/>
        </w:rPr>
        <w:t xml:space="preserve">PMIMS Compliance &amp; Scalability</w:t>
      </w:r>
    </w:p>
    <w:p>
      <w:pPr>
        <w:spacing w:after="400"/>
        <w:jc w:val="center"/>
      </w:pPr>
      <w:r>
        <w:rPr>
          <w:b/>
          <w:bCs/>
          <w:color w:val="2E75B6"/>
          <w:sz w:val="30"/>
          <w:szCs w:val="30"/>
        </w:rPr>
        <w:t xml:space="preserve">Gap Analysis and Implementation Record</w:t>
      </w:r>
    </w:p>
    <w:p>
      <w:pPr>
        <w:spacing w:after="120"/>
        <w:jc w:val="center"/>
      </w:pPr>
      <w:r>
        <w:rPr>
          <w:color w:val="444444"/>
          <w:sz w:val="22"/>
          <w:szCs w:val="22"/>
        </w:rPr>
        <w:t xml:space="preserve">LBMA Good Delivery • IFRS (IAS 2 / IFRS 13) • KFH IT Security Standards • Scalability (Gold Dispensing Machines)</w:t>
      </w:r>
    </w:p>
    <w:p>
      <w:pPr>
        <w:spacing w:before="800"/>
        <w:jc w:val="center"/>
      </w:pPr>
      <w:r>
        <w:rPr>
          <w:sz w:val="22"/>
          <w:szCs w:val="22"/>
        </w:rPr>
        <w:t xml:space="preserve">Precious Metals Inventory Management System (PMIMS)</w:t>
      </w:r>
    </w:p>
    <w:p>
      <w:pPr>
        <w:spacing w:after="60"/>
        <w:jc w:val="center"/>
      </w:pPr>
      <w:r>
        <w:rPr>
          <w:sz w:val="22"/>
          <w:szCs w:val="22"/>
        </w:rPr>
        <w:t xml:space="preserve">Treasury / Precious Metals Division — Kuwait Finance House</w:t>
      </w:r>
    </w:p>
    <w:p>
      <w:pPr>
        <w:spacing w:before="400"/>
        <w:jc w:val="center"/>
      </w:pPr>
      <w:r>
        <w:rPr>
          <w:color w:val="666666"/>
          <w:sz w:val="20"/>
          <w:szCs w:val="20"/>
        </w:rPr>
        <w:t xml:space="preserve">Prepared: 3 July 2026</w:t>
      </w:r>
    </w:p>
    <w:p>
      <w:pPr>
        <w:jc w:val="center"/>
      </w:pPr>
      <w:r>
        <w:rPr>
          <w:color w:val="666666"/>
          <w:sz w:val="20"/>
          <w:szCs w:val="20"/>
        </w:rPr>
        <w:t xml:space="preserve">Status: Codebase review complete; targeted implementation delivered in this pass</w:t>
      </w:r>
    </w:p>
    <w:p>
      <w:pPr>
        <w:pageBreakBefore/>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Executive Summary</w:t>
      </w:r>
    </w:p>
    <w:p>
      <w:pPr>
        <w:spacing w:after="160"/>
      </w:pPr>
      <w:r>
        <w:t xml:space="preserve">This document reviews PMIMS (the Treasury/Precious Metals ledger, Clean-Architecture .NET 10 backend + React/TypeScript frontend) against four requirements: LBMA Good Delivery practice, IFRS accounting standards, KFH IT security standards, and scalability for future physical channels such as Gold Dispensing Machines (GDMs). It records what the codebase already did well, the concrete gaps found, and the code changes made in this pass to close the highest-value gaps. Items that require organizational decisions (vendor contracts, a real LBMA List feed, a licensed penetration test, a chosen GDM hardware vendor) are called out as follow-ups rather than implemented, since they are not answerable from the codebase alone.</w:t>
      </w:r>
    </w:p>
    <w:p>
      <w:pPr>
        <w:spacing w:after="160"/>
      </w:pPr>
      <w:r>
        <w:rPr>
          <w:b/>
          <w:bCs/>
        </w:rPr>
        <w:t xml:space="preserve">Bottom line: </w:t>
      </w:r>
      <w:r>
        <w:t xml:space="preserve">PMIMS already has strong bones for all four areas — Maker-Checker workflow, RBAC with a superuser-safe permission model, an append-only tamper-evident audit log, a weighted-average costing lot model, and a reserved LocationType.GDM enum value that anticipated this exact enhancement. The gaps were mostly missing surface area (no refiner/assay/fineness fields, no persisted IFRS disclosure, no device/dispense entities) rather than architectural flaws, which is why this pass could close them additively — no breaking changes to existing tables, endpoints, or the demo dataset.</w:t>
      </w:r>
    </w:p>
    <w:p>
      <w:pPr>
        <w:pStyle w:val="Heading2"/>
      </w:pPr>
      <w:r>
        <w:t xml:space="preserve">1.1 Summary of Changes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Area</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What Was Added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LBMA Good Delivery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Per-bar refiner/assay/fineness/hallmark fields, Good Delivery status, an append-only chain-of-custody ledger, and a compliance-gap report.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Implemented</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IFRS</w:t>
            </w:r>
          </w:p>
        </w:tc>
        <w:tc>
          <w:tcPr>
            <w:tcW w:type="dxa" w:w="5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A persisted IfrsValuationDisclosure snapshot (IAS 2 lower-of-cost-or-NRV, IFRS 13 fair-value hierarchy) alongside the existing per-item valuation report.</w:t>
            </w:r>
          </w:p>
        </w:tc>
        <w:tc>
          <w:tcPr>
            <w:tcW w:type="dxa" w:w="1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KFH IT Security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Findings documented (Section 4); no new code risk introduced by this pass (new endpoints follow the existing JWT + policy model).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Documented; partial follow-up</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Scalability (GDM)</w:t>
            </w:r>
          </w:p>
        </w:tc>
        <w:tc>
          <w:tcPr>
            <w:tcW w:type="dxa" w:w="5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DispensingDevice / DispenseTransaction entities, allocate→confirm/fail workflow, two new permission modules, and admin + operational endpoints.</w:t>
            </w:r>
          </w:p>
        </w:tc>
        <w:tc>
          <w:tcPr>
            <w:tcW w:type="dxa" w:w="15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Implemented</w:t>
            </w:r>
          </w:p>
        </w:tc>
      </w:tr>
    </w:tbl>
    <w:p>
      <w:pPr>
        <w:pageBreakBefore/>
      </w:pPr>
      <w:r>
        <w:t xml:space="preserve"/>
      </w:r>
    </w:p>
    <w:p>
      <w:pPr>
        <w:pStyle w:val="Heading1"/>
      </w:pPr>
      <w:r>
        <w:t xml:space="preserve">2. LBMA Good Delivery Compliance</w:t>
      </w:r>
    </w:p>
    <w:p>
      <w:pPr>
        <w:pStyle w:val="Heading2"/>
      </w:pPr>
      <w:r>
        <w:t xml:space="preserve">2.1 What LBMA Good Delivery Requires</w:t>
      </w:r>
    </w:p>
    <w:p>
      <w:pPr>
        <w:spacing w:after="160"/>
      </w:pPr>
      <w:r>
        <w:t xml:space="preserve">The London Bullion Market Association's Good Delivery List sets the accepted standard for gold and silver bars traded in the wholesale market: bars must originate from an LBMA-accredited refiner, carry a verifiable assay/fineness reading, and be traceable through an unbroken chain of custody from refiner to vault to counterparty. A bank running a physical bullion ledger is expected to be able to answer, for any serial number, “who refined this, what is its fineness, and every custody event it has been through” on demand.</w:t>
      </w:r>
    </w:p>
    <w:p>
      <w:pPr>
        <w:pStyle w:val="Heading2"/>
      </w:pPr>
      <w:r>
        <w:t xml:space="preserve">2.2 Gaps Found</w:t>
      </w:r>
    </w:p>
    <w:p>
      <w:pPr>
        <w:pStyle w:val="ListParagraph"/>
        <w:numPr>
          <w:ilvl w:val="0"/>
          <w:numId w:val="2"/>
        </w:numPr>
        <w:spacing w:after="80"/>
      </w:pPr>
      <w:r>
        <w:rPr>
          <w:b/>
          <w:bCs/>
        </w:rPr>
        <w:t xml:space="preserve">No refiner/assay data model: </w:t>
      </w:r>
      <w:r>
        <w:t xml:space="preserve">InventoryItem (the serialized bar record) tracked serial number, product, lot, location, ownership and status — but no refiner identity, assay certificate, fineness reading, or Good Delivery List status.</w:t>
      </w:r>
    </w:p>
    <w:p>
      <w:pPr>
        <w:pStyle w:val="ListParagraph"/>
        <w:numPr>
          <w:ilvl w:val="0"/>
          <w:numId w:val="2"/>
        </w:numPr>
        <w:spacing w:after="80"/>
      </w:pPr>
      <w:r>
        <w:rPr>
          <w:b/>
          <w:bCs/>
        </w:rPr>
        <w:t xml:space="preserve">No dedicated custody ledger: </w:t>
      </w:r>
      <w:r>
        <w:t xml:space="preserve">AuditLog (system actions) and InventoryTransaction (ledger postings) exist, but neither is structured as a per-bar, LBMA-facing custody narrative an auditor could read top-to-bottom for one serial number.</w:t>
      </w:r>
    </w:p>
    <w:p>
      <w:pPr>
        <w:pStyle w:val="ListParagraph"/>
        <w:numPr>
          <w:ilvl w:val="0"/>
          <w:numId w:val="2"/>
        </w:numPr>
        <w:spacing w:after="80"/>
      </w:pPr>
      <w:r>
        <w:rPr>
          <w:b/>
          <w:bCs/>
        </w:rPr>
        <w:t xml:space="preserve">No compliance gap visibility: </w:t>
      </w:r>
      <w:r>
        <w:t xml:space="preserve">There was no report surfacing which bars are missing refiner/assay data ahead of an audit or Good Delivery review.</w:t>
      </w:r>
    </w:p>
    <w:p>
      <w:pPr>
        <w:pStyle w:val="Heading2"/>
      </w:pPr>
      <w:r>
        <w:t xml:space="preserve">2.3 Changes Implemented</w:t>
      </w:r>
    </w:p>
    <w:p>
      <w:pPr>
        <w:pStyle w:val="ListParagraph"/>
        <w:numPr>
          <w:ilvl w:val="0"/>
          <w:numId w:val="2"/>
        </w:numPr>
        <w:spacing w:after="80"/>
      </w:pPr>
      <w:r>
        <w:rPr>
          <w:b/>
          <w:bCs/>
        </w:rPr>
        <w:t xml:space="preserve">InventoryItem extended </w:t>
      </w:r>
      <w:r>
        <w:t xml:space="preserve">with RefinerName, RefinerLbmaId, AssayCertificateNumber, FinenessPpt, HallmarkNumber, and GoodDeliveryStatus (NOT_ASSESSED / GDL_LISTED / NOT_LISTED). All fields are nullable/optional so no backfill migration is required and existing rows are simply flagged “not yet assessed” rather than falsely compliant.</w:t>
      </w:r>
    </w:p>
    <w:p>
      <w:pPr>
        <w:pStyle w:val="ListParagraph"/>
        <w:numPr>
          <w:ilvl w:val="0"/>
          <w:numId w:val="2"/>
        </w:numPr>
        <w:spacing w:after="80"/>
      </w:pPr>
      <w:r>
        <w:rPr>
          <w:b/>
          <w:bCs/>
        </w:rPr>
        <w:t xml:space="preserve">IntakeItemDTO extended </w:t>
      </w:r>
      <w:r>
        <w:t xml:space="preserve">with the same fields (refiner_name, refiner_lbma_id, assay_certificate_number, fineness_ppt, hallmark_number, good_delivery_status), flowing through the existing JSON round-trip (PendingIntake.SerialsJsonList → IntakeInventoryItemsAsync) with zero change to the Maker-Checker approval flow already in place.</w:t>
      </w:r>
    </w:p>
    <w:p>
      <w:pPr>
        <w:pStyle w:val="ListParagraph"/>
        <w:numPr>
          <w:ilvl w:val="0"/>
          <w:numId w:val="2"/>
        </w:numPr>
        <w:spacing w:after="80"/>
      </w:pPr>
      <w:r>
        <w:rPr>
          <w:b/>
          <w:bCs/>
        </w:rPr>
        <w:t xml:space="preserve">ChainOfCustodyEvent </w:t>
      </w:r>
      <w:r>
        <w:t xml:space="preserve">(new, append-only): records RECEIVED, TRANSFERRED, RESERVED, WITHDRAWN, and DISPENSED_GDM events, each with location, recorded-by user, timestamp, and a reference number (PO/transfer/withdrawal/dispense number). Wired into intake, branch transfer receipt, and customer withdrawal so the ledger starts populating immediately, not just for new code paths.</w:t>
      </w:r>
    </w:p>
    <w:p>
      <w:pPr>
        <w:pStyle w:val="ListParagraph"/>
        <w:numPr>
          <w:ilvl w:val="0"/>
          <w:numId w:val="2"/>
        </w:numPr>
        <w:spacing w:after="80"/>
      </w:pPr>
      <w:r>
        <w:rPr>
          <w:b/>
          <w:bCs/>
        </w:rPr>
        <w:t xml:space="preserve">GET /api/reports/lbma-compliance </w:t>
      </w:r>
      <w:r>
        <w:t xml:space="preserve">(reports.read): lists every bar that is missing refiner name, assay certificate, or fineness, or is explicitly NOT_LISTED — the gap list an internal audit or LBMA review would want.</w:t>
      </w:r>
    </w:p>
    <w:p>
      <w:pPr>
        <w:pStyle w:val="ListParagraph"/>
        <w:numPr>
          <w:ilvl w:val="0"/>
          <w:numId w:val="2"/>
        </w:numPr>
        <w:spacing w:after="80"/>
      </w:pPr>
      <w:r>
        <w:rPr>
          <w:b/>
          <w:bCs/>
        </w:rPr>
        <w:t xml:space="preserve">GET /api/inventory/items/{id}/custody-chain </w:t>
      </w:r>
      <w:r>
        <w:t xml:space="preserve">(custody.read): the full event history for one serial number.</w:t>
      </w:r>
    </w:p>
    <w:p>
      <w:pPr>
        <w:pStyle w:val="Heading2"/>
      </w:pPr>
      <w:r>
        <w:t xml:space="preserve">2.4 Follow-Ups (Not Implemented This Pass)</w:t>
      </w:r>
    </w:p>
    <w:p>
      <w:pPr>
        <w:pStyle w:val="ListParagraph"/>
        <w:numPr>
          <w:ilvl w:val="0"/>
          <w:numId w:val="2"/>
        </w:numPr>
        <w:spacing w:after="80"/>
      </w:pPr>
      <w:r>
        <w:t xml:space="preserve">The Good Delivery List itself is maintained by the LBMA and changes periodically; PMIMS should ingest it as a reference feed (nightly sync) rather than relying on manual GoodDeliveryStatus entry at intake.</w:t>
      </w:r>
    </w:p>
    <w:p>
      <w:pPr>
        <w:pStyle w:val="ListParagraph"/>
        <w:numPr>
          <w:ilvl w:val="0"/>
          <w:numId w:val="2"/>
        </w:numPr>
        <w:spacing w:after="80"/>
      </w:pPr>
      <w:r>
        <w:t xml:space="preserve">SQL Server production mode (database/schema.sql, database/procedures.sql, sp_IntakeInventoryItems) was not updated to carry the new columns — this pass targeted the SQLite/EF Core dev path used by dotnet run locally. Schema/stored-procedure parity is required before a SQL Server cutover.</w:t>
      </w:r>
    </w:p>
    <w:p>
      <w:pPr>
        <w:pStyle w:val="ListParagraph"/>
        <w:numPr>
          <w:ilvl w:val="0"/>
          <w:numId w:val="2"/>
        </w:numPr>
        <w:spacing w:after="80"/>
      </w:pPr>
      <w:r>
        <w:t xml:space="preserve">Chain-of-custody recording was added at the three highest-value points (intake, transfer, withdrawal) plus GDM dispense; sale/redemption and stocktake-driven status changes are not yet instrumented.</w:t>
      </w:r>
    </w:p>
    <w:p>
      <w:pPr>
        <w:pageBreakBefore/>
      </w:pPr>
      <w:r>
        <w:t xml:space="preserve"/>
      </w:r>
    </w:p>
    <w:p>
      <w:pPr>
        <w:pStyle w:val="Heading1"/>
      </w:pPr>
      <w:r>
        <w:t xml:space="preserve">3. IFRS Accounting Compliance</w:t>
      </w:r>
    </w:p>
    <w:p>
      <w:pPr>
        <w:pStyle w:val="Heading2"/>
      </w:pPr>
      <w:r>
        <w:t xml:space="preserve">3.1 Relevant Standards</w:t>
      </w:r>
    </w:p>
    <w:p>
      <w:pPr>
        <w:pStyle w:val="ListParagraph"/>
        <w:numPr>
          <w:ilvl w:val="0"/>
          <w:numId w:val="2"/>
        </w:numPr>
        <w:spacing w:after="80"/>
      </w:pPr>
      <w:r>
        <w:rPr>
          <w:b/>
          <w:bCs/>
        </w:rPr>
        <w:t xml:space="preserve">IAS 2 (Inventories): </w:t>
      </w:r>
      <w:r>
        <w:t xml:space="preserve">physical bullion held for sale is measured at the lower of cost and net realizable value (NRV); a write-down is recognized as an expense when cost exceeds NRV.</w:t>
      </w:r>
    </w:p>
    <w:p>
      <w:pPr>
        <w:pStyle w:val="ListParagraph"/>
        <w:numPr>
          <w:ilvl w:val="0"/>
          <w:numId w:val="2"/>
        </w:numPr>
        <w:spacing w:after="80"/>
      </w:pPr>
      <w:r>
        <w:rPr>
          <w:b/>
          <w:bCs/>
        </w:rPr>
        <w:t xml:space="preserve">IFRS 13 (Fair Value Measurement): </w:t>
      </w:r>
      <w:r>
        <w:t xml:space="preserve">requires a fair-value hierarchy classification (Level 1: quoted price in an active market, Level 2: observable inputs, Level 3: unobservable inputs) for any fair-value disclosure. LBMA/exchange-quoted spot gold and silver are Level 1 inputs.</w:t>
      </w:r>
    </w:p>
    <w:p>
      <w:pPr>
        <w:pStyle w:val="Heading2"/>
      </w:pPr>
      <w:r>
        <w:t xml:space="preserve">3.2 What Already Existed</w:t>
      </w:r>
    </w:p>
    <w:p>
      <w:pPr>
        <w:spacing w:after="160"/>
      </w:pPr>
      <w:r>
        <w:t xml:space="preserve">GET /api/reports/valuation already computed, per item, a cost basis (from the lot's weighted-average unit cost — itself a defensible IAS 2 costing method), a live market value from the rate feed, and an unrealized P&amp;L. This is a solid foundation; what was missing was a persisted, period-end disclosure snapshot suitable for handing to Finance, and the explicit lower-of-cost-or-NRV and fair-value-hierarchy framing IFRS actually asks for.</w:t>
      </w:r>
    </w:p>
    <w:p>
      <w:pPr>
        <w:pStyle w:val="Heading2"/>
      </w:pPr>
      <w:r>
        <w:t xml:space="preserve">3.3 Gaps Found</w:t>
      </w:r>
    </w:p>
    <w:p>
      <w:pPr>
        <w:pStyle w:val="ListParagraph"/>
        <w:numPr>
          <w:ilvl w:val="0"/>
          <w:numId w:val="2"/>
        </w:numPr>
        <w:spacing w:after="80"/>
      </w:pPr>
      <w:r>
        <w:rPr>
          <w:b/>
          <w:bCs/>
        </w:rPr>
        <w:t xml:space="preserve">No lower-of-cost-or-NRV test: </w:t>
      </w:r>
      <w:r>
        <w:t xml:space="preserve">the existing report shows cost vs. market value side by side but never computes or flags the IAS 2 write-down itself.</w:t>
      </w:r>
    </w:p>
    <w:p>
      <w:pPr>
        <w:pStyle w:val="ListParagraph"/>
        <w:numPr>
          <w:ilvl w:val="0"/>
          <w:numId w:val="2"/>
        </w:numPr>
        <w:spacing w:after="80"/>
      </w:pPr>
      <w:r>
        <w:rPr>
          <w:b/>
          <w:bCs/>
        </w:rPr>
        <w:t xml:space="preserve">No persisted disclosure record: </w:t>
      </w:r>
      <w:r>
        <w:t xml:space="preserve">every valuation report call recomputes live; there was no snapshot a Finance team could attach to a closed accounting period and reproduce later.</w:t>
      </w:r>
    </w:p>
    <w:p>
      <w:pPr>
        <w:pStyle w:val="ListParagraph"/>
        <w:numPr>
          <w:ilvl w:val="0"/>
          <w:numId w:val="2"/>
        </w:numPr>
        <w:spacing w:after="80"/>
      </w:pPr>
      <w:r>
        <w:rPr>
          <w:b/>
          <w:bCs/>
        </w:rPr>
        <w:t xml:space="preserve">No fair-value hierarchy tag: </w:t>
      </w:r>
      <w:r>
        <w:t xml:space="preserve">IFRS 13 requires stating which level of the hierarchy a fair value estimate falls under; this was implicit, not recorded.</w:t>
      </w:r>
    </w:p>
    <w:p>
      <w:pPr>
        <w:pStyle w:val="Heading2"/>
      </w:pPr>
      <w:r>
        <w:t xml:space="preserve">3.4 Changes Implemented</w:t>
      </w:r>
    </w:p>
    <w:p>
      <w:pPr>
        <w:pStyle w:val="ListParagraph"/>
        <w:numPr>
          <w:ilvl w:val="0"/>
          <w:numId w:val="2"/>
        </w:numPr>
        <w:spacing w:after="80"/>
      </w:pPr>
      <w:r>
        <w:rPr>
          <w:b/>
          <w:bCs/>
        </w:rPr>
        <w:t xml:space="preserve">IfrsValuationDisclosure </w:t>
      </w:r>
      <w:r>
        <w:t xml:space="preserve">(new entity): one row per metal type per snapshot, holding TotalWeightGrams, CostBasisTotal (weighted-average acquisition cost), NetRealizableValueTotal (bid-price proxy, i.e. net proceeds on disposal), FairValueTotal (ask-price mark-to-market), FairValueHierarchyLevel (defaulted to 1, since bullion is exchange/LBMA spot-quoted), LowerOfCostOrNrvTotal, and ImpairmentLossRecognized (max(0, cost − NRV), per IAS 2 §34).</w:t>
      </w:r>
    </w:p>
    <w:p>
      <w:pPr>
        <w:pStyle w:val="ListParagraph"/>
        <w:numPr>
          <w:ilvl w:val="0"/>
          <w:numId w:val="2"/>
        </w:numPr>
        <w:spacing w:after="80"/>
      </w:pPr>
      <w:r>
        <w:rPr>
          <w:b/>
          <w:bCs/>
        </w:rPr>
        <w:t xml:space="preserve">GenerateIfrsValuationDisclosureAsync </w:t>
      </w:r>
      <w:r>
        <w:t xml:space="preserve">(IInventoryRepository): pulls all non-withdrawn inventory, groups by metal type, prices each group off the live rate feed, computes the IAS 2 test, and persists one disclosure row per metal type, with an audit log entry for the generation event.</w:t>
      </w:r>
    </w:p>
    <w:p>
      <w:pPr>
        <w:pStyle w:val="ListParagraph"/>
        <w:numPr>
          <w:ilvl w:val="0"/>
          <w:numId w:val="2"/>
        </w:numPr>
        <w:spacing w:after="80"/>
      </w:pPr>
      <w:r>
        <w:rPr>
          <w:b/>
          <w:bCs/>
        </w:rPr>
        <w:t xml:space="preserve">GET /api/reports/ifrs-disclosures </w:t>
      </w:r>
      <w:r>
        <w:t xml:space="preserve">(reports.read) and </w:t>
      </w:r>
    </w:p>
    <w:p>
      <w:pPr>
        <w:pStyle w:val="ListParagraph"/>
        <w:numPr>
          <w:ilvl w:val="0"/>
          <w:numId w:val="2"/>
        </w:numPr>
        <w:spacing w:after="80"/>
      </w:pPr>
      <w:r>
        <w:rPr>
          <w:b/>
          <w:bCs/>
        </w:rPr>
        <w:t xml:space="preserve">POST /api/reports/ifrs-disclosures/generate </w:t>
      </w:r>
      <w:r>
        <w:t xml:space="preserve">(new reports.write policy — only roles holding FULL on reports, i.e. Reconciliation Officers and IT/Admin, can produce a disclosure of record; everyone with reports.read can still list previously generated ones).</w:t>
      </w:r>
    </w:p>
    <w:p>
      <w:pPr>
        <w:pStyle w:val="Heading2"/>
      </w:pPr>
      <w:r>
        <w:t xml:space="preserve">3.5 Follow-Ups (Not Implemented This Pass)</w:t>
      </w:r>
    </w:p>
    <w:p>
      <w:pPr>
        <w:pStyle w:val="ListParagraph"/>
        <w:numPr>
          <w:ilvl w:val="0"/>
          <w:numId w:val="2"/>
        </w:numPr>
        <w:spacing w:after="80"/>
      </w:pPr>
      <w:r>
        <w:t xml:space="preserve">NRV here uses live bid price as a proxy; a precise IAS 2 NRV should deduct estimated costs to sell (assay, insurance, transport) — that rate is not currently configured anywhere in the system and would need a Finance-owned input.</w:t>
      </w:r>
    </w:p>
    <w:p>
      <w:pPr>
        <w:pStyle w:val="ListParagraph"/>
        <w:numPr>
          <w:ilvl w:val="0"/>
          <w:numId w:val="2"/>
        </w:numPr>
        <w:spacing w:after="80"/>
      </w:pPr>
      <w:r>
        <w:t xml:space="preserve">No functional-currency/translation (IAS 21) handling: PurchaseOrder and IfrsValuationDisclosure carry a Currency field but there is no FX translation service tying multi-currency POs back to KWD reporting currency.</w:t>
      </w:r>
    </w:p>
    <w:p>
      <w:pPr>
        <w:pStyle w:val="ListParagraph"/>
        <w:numPr>
          <w:ilvl w:val="0"/>
          <w:numId w:val="2"/>
        </w:numPr>
        <w:spacing w:after="80"/>
      </w:pPr>
      <w:r>
        <w:t xml:space="preserve">No IFRS 9 hedge-accounting treatment, even though ExchangeRate/RateFeed data exists — relevant only if KFH hedges gold-price or FX exposure and wants hedge designation in the GL.</w:t>
      </w:r>
    </w:p>
    <w:p>
      <w:pPr>
        <w:pStyle w:val="ListParagraph"/>
        <w:numPr>
          <w:ilvl w:val="0"/>
          <w:numId w:val="2"/>
        </w:numPr>
        <w:spacing w:after="80"/>
      </w:pPr>
      <w:r>
        <w:t xml:space="preserve">This is engineering-level scaffolding, not a substitute for sign-off by KFH's external auditors and Sharia Supervisory Board on methodology, disclosure wording, and materiality thresholds.</w:t>
      </w:r>
    </w:p>
    <w:p>
      <w:pPr>
        <w:pageBreakBefore/>
      </w:pPr>
      <w:r>
        <w:t xml:space="preserve"/>
      </w:r>
    </w:p>
    <w:p>
      <w:pPr>
        <w:pStyle w:val="Heading1"/>
      </w:pPr>
      <w:r>
        <w:t xml:space="preserve">4. KFH IT Security Standards</w:t>
      </w:r>
    </w:p>
    <w:p>
      <w:pPr>
        <w:spacing w:after="160"/>
      </w:pPr>
      <w:r>
        <w:t xml:space="preserve">This section is a documentation/assessment deliverable (per scope agreed for this pass); it was not accompanied by broad security-hardening code changes, which the user can request as a separate follow-up pass. New endpoints added in this pass (LBMA, IFRS, GDM) all reuse the existing JWT + policy-based authorization model, so they do not introduce new risk beyond what's noted below.</w:t>
      </w:r>
    </w:p>
    <w:p>
      <w:pPr>
        <w:pStyle w:val="Heading2"/>
      </w:pPr>
      <w:r>
        <w:t xml:space="preserve">4.1 What Already Meets a Reasonable Bank IT Security Bar</w:t>
      </w:r>
    </w:p>
    <w:p>
      <w:pPr>
        <w:pStyle w:val="ListParagraph"/>
        <w:numPr>
          <w:ilvl w:val="0"/>
          <w:numId w:val="2"/>
        </w:numPr>
        <w:spacing w:after="80"/>
      </w:pPr>
      <w:r>
        <w:t xml:space="preserve">Signed JWT authentication with server-side, module-scoped authorization policies (not just UI-hidden buttons) — AGENTS.md documents this was hardened after a real gap (unattributed endpoints reachable by anonymous callers) was found and fixed.</w:t>
      </w:r>
    </w:p>
    <w:p>
      <w:pPr>
        <w:pStyle w:val="ListParagraph"/>
        <w:numPr>
          <w:ilvl w:val="0"/>
          <w:numId w:val="2"/>
        </w:numPr>
        <w:spacing w:after="80"/>
      </w:pPr>
      <w:r>
        <w:t xml:space="preserve">Maker-Checker (4-eyes) workflow on financially sensitive actions (purchase orders, intake, transfers), with a guard against orphaning in-flight workflow instances when a template is edited.</w:t>
      </w:r>
    </w:p>
    <w:p>
      <w:pPr>
        <w:pStyle w:val="ListParagraph"/>
        <w:numPr>
          <w:ilvl w:val="0"/>
          <w:numId w:val="2"/>
        </w:numPr>
        <w:spacing w:after="80"/>
      </w:pPr>
      <w:r>
        <w:t xml:space="preserve">An append-only AuditLog with a SHA-256 row-hash tamper-detection fingerprint, recomputed on read and compared — rows altered in place after insert are flagged, not silently trusted.</w:t>
      </w:r>
    </w:p>
    <w:p>
      <w:pPr>
        <w:pStyle w:val="ListParagraph"/>
        <w:numPr>
          <w:ilvl w:val="0"/>
          <w:numId w:val="2"/>
        </w:numPr>
        <w:spacing w:after="80"/>
      </w:pPr>
      <w:r>
        <w:t xml:space="preserve">Password hashing is algorithm-aware (SHA-256 legacy / BCRYPT / AES-256) rather than a single hard-coded comparison, so the FIM integration module can rotate to a stronger algorithm without a breaking change.</w:t>
      </w:r>
    </w:p>
    <w:p>
      <w:pPr>
        <w:pStyle w:val="Heading2"/>
      </w:pPr>
      <w:r>
        <w:t xml:space="preserve">4.2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4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Finding</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Risk</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Dev JWT signing key is a placeholder string committed in appsettings.json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Token forgery if deployed as-is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Load from a secret store (Azure Key Vault / HashiCorp Vault / environment variable) before any real deployment — already flagged in AGENTS.md, reaffirmed here</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CORS policy is AllowAnyOrigin/AllowAnyHeader/AllowAnyMethod</w:t>
            </w:r>
          </w:p>
        </w:tc>
        <w:tc>
          <w:tcPr>
            <w:tcW w:type="dxa" w:w="2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Any origin can call the API if a valid token is presented (e.g. via XSS on an unrelated site)</w:t>
            </w:r>
          </w:p>
        </w:tc>
        <w:tc>
          <w:tcPr>
            <w:tcW w:type="dxa" w:w="34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Restrict to the known frontend origin(s) per environment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 rate limiting / brute-force lockout on POST /api/auth/login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Credential-stuffing / brute force risk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Add a rate limiter (e.g. ASP.NET Core RateLimiting middleware) and account lockout after N failed attempts</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QuestPDF is licensed Community in Program.cs with a code comment flagging it</w:t>
            </w:r>
          </w:p>
        </w:tc>
        <w:tc>
          <w:tcPr>
            <w:tcW w:type="dxa" w:w="2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Community tier is free only under $1M USD annual gross revenue — compliance/licensing risk at KFH's scale, not a security bug but a legal exposure</w:t>
            </w:r>
          </w:p>
        </w:tc>
        <w:tc>
          <w:tcPr>
            <w:tcW w:type="dxa" w:w="34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Procure a commercial QuestPDF license before production use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 machine-to-machine credential type; new GDM endpoints (Section 5) are gated by the same human-operator JWT policies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 physical dispensing machine has no natural way to authenticate as itself, distinct from a teller's login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Introduce API-key or mTLS client-certificate auth for device-originated calls before any real GDM is connected</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HTTPS redirection is enabled, but no HSTS / certificate-pinning guidance is documented</w:t>
            </w:r>
          </w:p>
        </w:tc>
        <w:tc>
          <w:tcPr>
            <w:tcW w:type="dxa" w:w="29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Downgrade-attack surface on first request</w:t>
            </w:r>
          </w:p>
        </w:tc>
        <w:tc>
          <w:tcPr>
            <w:tcW w:type="dxa" w:w="34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Add UseHsts() for non-development environments and document TLS certificate management</w:t>
            </w:r>
          </w:p>
        </w:tc>
      </w:tr>
    </w:tbl>
    <w:p>
      <w:pPr>
        <w:pStyle w:val="Heading2"/>
      </w:pPr>
      <w:r>
        <w:t xml:space="preserve">4.3 Recommended Priority Order</w:t>
      </w:r>
    </w:p>
    <w:p>
      <w:pPr>
        <w:pStyle w:val="ListParagraph"/>
        <w:numPr>
          <w:ilvl w:val="0"/>
          <w:numId w:val="3"/>
        </w:numPr>
        <w:spacing w:after="80"/>
      </w:pPr>
      <w:r>
        <w:t xml:space="preserve">Move the JWT signing key to a secret store and tighten CORS — both are configuration-only changes with no code risk, highest impact for lowest effort.</w:t>
      </w:r>
    </w:p>
    <w:p>
      <w:pPr>
        <w:pStyle w:val="ListParagraph"/>
        <w:numPr>
          <w:ilvl w:val="0"/>
          <w:numId w:val="3"/>
        </w:numPr>
        <w:spacing w:after="80"/>
      </w:pPr>
      <w:r>
        <w:t xml:space="preserve">Add login rate limiting / lockout before any external-facing deployment.</w:t>
      </w:r>
    </w:p>
    <w:p>
      <w:pPr>
        <w:pStyle w:val="ListParagraph"/>
        <w:numPr>
          <w:ilvl w:val="0"/>
          <w:numId w:val="3"/>
        </w:numPr>
        <w:spacing w:after="80"/>
      </w:pPr>
      <w:r>
        <w:t xml:space="preserve">Resolve the QuestPDF licensing question with KFH procurement before the audit-export feature reaches production.</w:t>
      </w:r>
    </w:p>
    <w:p>
      <w:pPr>
        <w:pStyle w:val="ListParagraph"/>
        <w:numPr>
          <w:ilvl w:val="0"/>
          <w:numId w:val="3"/>
        </w:numPr>
        <w:spacing w:after="80"/>
      </w:pPr>
      <w:r>
        <w:t xml:space="preserve">Design the device-credential model (Section 5.4) before connecting a real GDM, not after.</w:t>
      </w:r>
    </w:p>
    <w:p>
      <w:pPr>
        <w:pStyle w:val="ListParagraph"/>
        <w:numPr>
          <w:ilvl w:val="0"/>
          <w:numId w:val="3"/>
        </w:numPr>
        <w:spacing w:after="80"/>
      </w:pPr>
      <w:r>
        <w:t xml:space="preserve">Commission a licensed penetration test / SOC 2-style review once the above are closed — this document is an internal engineering review, not a substitute for independent audit.</w:t>
      </w:r>
    </w:p>
    <w:p>
      <w:pPr>
        <w:pageBreakBefore/>
      </w:pPr>
      <w:r>
        <w:t xml:space="preserve"/>
      </w:r>
    </w:p>
    <w:p>
      <w:pPr>
        <w:pStyle w:val="Heading1"/>
      </w:pPr>
      <w:r>
        <w:t xml:space="preserve">5. Scalability: Gold Dispensing Machines (GDM)</w:t>
      </w:r>
    </w:p>
    <w:p>
      <w:pPr>
        <w:pStyle w:val="Heading2"/>
      </w:pPr>
      <w:r>
        <w:t xml:space="preserve">5.1 What Was Already There</w:t>
      </w:r>
    </w:p>
    <w:p>
      <w:pPr>
        <w:spacing w:after="160"/>
      </w:pPr>
      <w:r>
        <w:t xml:space="preserve">PMIMS.Domain.Enums.LocationType already reserved a “GDM” value alongside MAIN_VAULT / BRANCH / CUSTOMER / SUPPLIER — evidence the system was designed with this exact enhancement in mind, even though nothing referenced it yet. The existing ReservationRequest → ConfirmPurchaseWithCustodyAsync → CancelReservationAsync pattern (allocate, then confirm or release) was also directly reusable as the shape for a machine-facing dispense workflow.</w:t>
      </w:r>
    </w:p>
    <w:p>
      <w:pPr>
        <w:pStyle w:val="Heading2"/>
      </w:pPr>
      <w:r>
        <w:t xml:space="preserve">5.2 Design Delivered</w:t>
      </w:r>
    </w:p>
    <w:p>
      <w:pPr>
        <w:pStyle w:val="ListParagraph"/>
        <w:numPr>
          <w:ilvl w:val="0"/>
          <w:numId w:val="2"/>
        </w:numPr>
        <w:spacing w:after="80"/>
      </w:pPr>
      <w:r>
        <w:rPr>
          <w:b/>
          <w:bCs/>
        </w:rPr>
        <w:t xml:space="preserve">DispensingDevice </w:t>
      </w:r>
      <w:r>
        <w:t xml:space="preserve">(new entity/admin resource): a physical machine bound to one InventoryLocation (its own cassette, modeled exactly like any other vault/branch shelf-slot, so every existing balance/transaction/report code path applies unchanged) and one Branch. Carries manufacturer/model/API-endpoint metadata, a status (ACTIVE/OFFLINE/MAINTENANCE/DECOMMISSIONED), and a heartbeat timestamp.</w:t>
      </w:r>
    </w:p>
    <w:p>
      <w:pPr>
        <w:pStyle w:val="ListParagraph"/>
        <w:numPr>
          <w:ilvl w:val="0"/>
          <w:numId w:val="2"/>
        </w:numPr>
        <w:spacing w:after="80"/>
      </w:pPr>
      <w:r>
        <w:rPr>
          <w:b/>
          <w:bCs/>
        </w:rPr>
        <w:t xml:space="preserve">DispenseTransaction </w:t>
      </w:r>
      <w:r>
        <w:t xml:space="preserve">(new entity): one row per dispense attempt, with an idempotency key (mirroring the existing reservation-lock idempotency pattern), REQUESTED/DISPENSED/FAILED/CANCELLED status, and links to the allocated serialized bar once one is picked.</w:t>
      </w:r>
    </w:p>
    <w:p>
      <w:pPr>
        <w:pStyle w:val="ListParagraph"/>
        <w:numPr>
          <w:ilvl w:val="0"/>
          <w:numId w:val="2"/>
        </w:numPr>
        <w:spacing w:after="80"/>
      </w:pPr>
      <w:r>
        <w:rPr>
          <w:b/>
          <w:bCs/>
        </w:rPr>
        <w:t xml:space="preserve">Three-call integration surface: </w:t>
      </w:r>
      <w:r>
        <w:t xml:space="preserve">POST /api/dispensing/request (allocate an available bar at the device's cassette to a product request), POST /api/dispensing/{id}/complete (confirm physical dispatch — posts an InventoryTransaction, updates balances, writes a DISPENSED_GDM chain-of-custody event), and POST /api/dispensing/{id}/fail (release the allocation on a jam/error). A vendor integration is “call these three endpoints,” not a core rework.</w:t>
      </w:r>
    </w:p>
    <w:p>
      <w:pPr>
        <w:pStyle w:val="ListParagraph"/>
        <w:numPr>
          <w:ilvl w:val="0"/>
          <w:numId w:val="2"/>
        </w:numPr>
        <w:spacing w:after="80"/>
      </w:pPr>
      <w:r>
        <w:rPr>
          <w:b/>
          <w:bCs/>
        </w:rPr>
        <w:t xml:space="preserve">Two new permission modules, </w:t>
      </w:r>
      <w:r>
        <w:t xml:space="preserve">following the existing operational-view / administrative-manage segregation used throughout PMIMS: dispensing (view/operate dispense transactions — Treasury Ops Maker: FULL, Checker/Reconciliation: READ_ONLY) and device_integration (register/decommission physical machines — IT/Admin only, same tier as vault_location/master_data).</w:t>
      </w:r>
    </w:p>
    <w:p>
      <w:pPr>
        <w:pStyle w:val="ListParagraph"/>
        <w:numPr>
          <w:ilvl w:val="0"/>
          <w:numId w:val="2"/>
        </w:numPr>
        <w:spacing w:after="80"/>
      </w:pPr>
      <w:r>
        <w:rPr>
          <w:b/>
          <w:bCs/>
        </w:rPr>
        <w:t xml:space="preserve">Demo data: </w:t>
      </w:r>
      <w:r>
        <w:t xml:space="preserve">a GDM cassette location and one OFFLINE demo device (GDM-FAHAHEEL-01) are seeded so the feature is exercisable immediately after a fresh database, matching the existing convention used for every other RFP-tier feature in DbSeeder.cs.</w:t>
      </w:r>
    </w:p>
    <w:p>
      <w:pPr>
        <w:pStyle w:val="Heading2"/>
      </w:pPr>
      <w:r>
        <w:t xml:space="preserve">5.3 Why This Scales</w:t>
      </w:r>
    </w:p>
    <w:p>
      <w:pPr>
        <w:pStyle w:val="ListParagraph"/>
        <w:numPr>
          <w:ilvl w:val="0"/>
          <w:numId w:val="2"/>
        </w:numPr>
        <w:spacing w:after="80"/>
      </w:pPr>
      <w:r>
        <w:t xml:space="preserve">Adding a second, tenth, or hundredth machine is a single POST /api/admin/devices call plus one InventoryLocation — no schema or endpoint change per machine.</w:t>
      </w:r>
    </w:p>
    <w:p>
      <w:pPr>
        <w:pStyle w:val="ListParagraph"/>
        <w:numPr>
          <w:ilvl w:val="0"/>
          <w:numId w:val="2"/>
        </w:numPr>
        <w:spacing w:after="80"/>
      </w:pPr>
      <w:r>
        <w:t xml:space="preserve">Because a device's cassette is an ordinary InventoryLocation, existing reporting (stock-by-location, valuation, reconciliation) already “sees” GDM inventory without any special-casing.</w:t>
      </w:r>
    </w:p>
    <w:p>
      <w:pPr>
        <w:pStyle w:val="ListParagraph"/>
        <w:numPr>
          <w:ilvl w:val="0"/>
          <w:numId w:val="2"/>
        </w:numPr>
        <w:spacing w:after="80"/>
      </w:pPr>
      <w:r>
        <w:t xml:space="preserve">The allocate→confirm/fail shape is stateless per request (keyed by idempotency key), so concurrent requests from many machines don't need a shared lock beyond what EF Core's normal row updates already provide.</w:t>
      </w:r>
    </w:p>
    <w:p>
      <w:pPr>
        <w:pStyle w:val="Heading2"/>
      </w:pPr>
      <w:r>
        <w:t xml:space="preserve">5.4 Follow-Ups (Not Implemented This Pass)</w:t>
      </w:r>
    </w:p>
    <w:p>
      <w:pPr>
        <w:pStyle w:val="ListParagraph"/>
        <w:numPr>
          <w:ilvl w:val="0"/>
          <w:numId w:val="2"/>
        </w:numPr>
        <w:spacing w:after="80"/>
      </w:pPr>
      <w:r>
        <w:rPr>
          <w:b/>
          <w:bCs/>
        </w:rPr>
        <w:t xml:space="preserve">Machine authentication: </w:t>
      </w:r>
      <w:r>
        <w:t xml:space="preserve">flagged in both Section 4 and here — endpoints are currently gated by the same human-operator JWT policies as the rest of the API. A real machine needs its own credential (API key or mTLS certificate), issued per device, before connecting hardware.</w:t>
      </w:r>
    </w:p>
    <w:p>
      <w:pPr>
        <w:pStyle w:val="ListParagraph"/>
        <w:numPr>
          <w:ilvl w:val="0"/>
          <w:numId w:val="2"/>
        </w:numPr>
        <w:spacing w:after="80"/>
      </w:pPr>
      <w:r>
        <w:rPr>
          <w:b/>
          <w:bCs/>
        </w:rPr>
        <w:t xml:space="preserve">Allocation TTL: </w:t>
      </w:r>
      <w:r>
        <w:t xml:space="preserve">ReservationRequest has a 5-minute TTL cleanup (ReservationCleanupService); RequestDispenseAsync's RESERVED allocation does not yet have an equivalent timeout, so a machine that requests then never completes/fails would hold a bar reserved indefinitely. Recommend extending the existing cleanup hosted service to cover stale DispenseTransaction rows.</w:t>
      </w:r>
    </w:p>
    <w:p>
      <w:pPr>
        <w:pStyle w:val="ListParagraph"/>
        <w:numPr>
          <w:ilvl w:val="0"/>
          <w:numId w:val="2"/>
        </w:numPr>
        <w:spacing w:after="80"/>
      </w:pPr>
      <w:r>
        <w:rPr>
          <w:b/>
          <w:bCs/>
        </w:rPr>
        <w:t xml:space="preserve">Hardware protocol adapters: </w:t>
      </w:r>
      <w:r>
        <w:t xml:space="preserve">the three endpoints are a generic REST contract; each GDM vendor's actual cash-recycler-style dispensing protocol (cassette sensors, jam detection, cash/gold vending controller) will need a thin adapter translating vendor callbacks into these three calls — vendor not yet selected (see DbSeeder demo device: Manufacturer = “TBD”).</w:t>
      </w:r>
    </w:p>
    <w:p>
      <w:pPr>
        <w:pStyle w:val="ListParagraph"/>
        <w:numPr>
          <w:ilvl w:val="0"/>
          <w:numId w:val="2"/>
        </w:numPr>
        <w:spacing w:after="80"/>
      </w:pPr>
      <w:r>
        <w:rPr>
          <w:b/>
          <w:bCs/>
        </w:rPr>
        <w:t xml:space="preserve">Monitoring: </w:t>
      </w:r>
      <w:r>
        <w:t xml:space="preserve">device heartbeat is recorded but not yet wired into the existing KFH Monitoring Tool Integration (MonitoringEvent/MonitoringAlertRoute) for SLA/alerting on an offline machine.</w:t>
      </w:r>
    </w:p>
    <w:p>
      <w:pPr>
        <w:pageBreakBefore/>
      </w:pPr>
      <w:r>
        <w:t xml:space="preserve"/>
      </w:r>
    </w:p>
    <w:p>
      <w:pPr>
        <w:pStyle w:val="Heading1"/>
      </w:pPr>
      <w:r>
        <w:t xml:space="preserve">6. Appendix: Files Changed and New API Surface</w:t>
      </w:r>
    </w:p>
    <w:p>
      <w:pPr>
        <w:pStyle w:val="Heading2"/>
      </w:pPr>
      <w:r>
        <w:t xml:space="preserve">6.1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File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Change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backend/PMIMS.Domain/Entities.cs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LBMA fields on InventoryItem; new ChainOfCustodyEvent, IfrsValuationDisclosure, DispensingDevice, DispenseTransaction entities</w:t>
            </w:r>
          </w:p>
        </w:tc>
      </w:tr>
      <w:tr>
        <w:tc>
          <w:tcPr>
            <w:tcW w:type="dxa" w:w="4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backend/PMIMS.Infrastructure/AppDbContext.cs</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DbSets + EF configuration for the four new entities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backend/PMIMS.Infrastructure/DbSeeder.cs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New dispensing/device_integration modules in allModules + every group's permission matrix; GDM channel, cassette location, and demo device</w:t>
            </w:r>
          </w:p>
        </w:tc>
      </w:tr>
      <w:tr>
        <w:tc>
          <w:tcPr>
            <w:tcW w:type="dxa" w:w="4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backend/PMIMS.Infrastructure/InventoryRepository.cs</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LBMA parsing on intake; chain-of-custody recording on intake/transfer/withdrawal/dispense; IFRS disclosure generation; full GDM device/dispense CRUD and workflow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backend/PMIMS.Application/Interfaces.cs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New IInventoryRepository method signatures for all of the above</w:t>
            </w:r>
          </w:p>
        </w:tc>
      </w:tr>
      <w:tr>
        <w:tc>
          <w:tcPr>
            <w:tcW w:type="dxa" w:w="4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backend/PMIMS.WebAPI/Program.cs</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New policies: reports.write, dispensing.{read,write}, device_integration.{read,write}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backend/PMIMS.WebAPI/Controllers/PMIMSControllers.cs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IntakeItemDTO extended with LBMA fields; AllModuleKeys extended</w:t>
            </w:r>
          </w:p>
        </w:tc>
      </w:tr>
      <w:tr>
        <w:tc>
          <w:tcPr>
            <w:tcW w:type="dxa" w:w="4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backend/PMIMS.WebAPI/Controllers/PMIMSControllers.Lbma.cs (new)</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LBMA compliance report + custody-chain endpoints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backend/PMIMS.WebAPI/Controllers/PMIMSControllers.Ifrs.cs (new)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IFRS disclosure list/generate endpoints</w:t>
            </w:r>
          </w:p>
        </w:tc>
      </w:tr>
      <w:tr>
        <w:tc>
          <w:tcPr>
            <w:tcW w:type="dxa" w:w="4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backend/PMIMS.WebAPI/Controllers/PMIMSControllers.Devices.cs (new)</w:t>
            </w:r>
          </w:p>
        </w:tc>
        <w:tc>
          <w:tcPr>
            <w:tcW w:type="dxa" w:w="51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GDM device admin + dispensing operational endpoints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frontend/src/App.tsx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MODULE_KEYS extended with dispensing and device_integration (picked up automatically by the existing group-permission editor UI)</w:t>
            </w:r>
          </w:p>
        </w:tc>
      </w:tr>
    </w:tbl>
    <w:p>
      <w:pPr>
        <w:pStyle w:val="Heading2"/>
      </w:pPr>
      <w:r>
        <w:t xml:space="preserve">6.2 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Endpoint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Policy</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GET /api/reports/lbma-compliance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reports.read</w:t>
            </w:r>
          </w:p>
        </w:tc>
      </w:tr>
      <w:tr>
        <w:tc>
          <w:tcPr>
            <w:tcW w:type="dxa" w:w="6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GET /api/inventory/items/{id}/custody-chain</w:t>
            </w:r>
          </w:p>
        </w:tc>
        <w:tc>
          <w:tcPr>
            <w:tcW w:type="dxa" w:w="3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custody.read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GET /api/reports/ifrs-disclosures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reports.read</w:t>
            </w:r>
          </w:p>
        </w:tc>
      </w:tr>
      <w:tr>
        <w:tc>
          <w:tcPr>
            <w:tcW w:type="dxa" w:w="6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POST /api/reports/ifrs-disclosures/generate</w:t>
            </w:r>
          </w:p>
        </w:tc>
        <w:tc>
          <w:tcPr>
            <w:tcW w:type="dxa" w:w="3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reports.write (new)</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GET / POST / DELETE /api/admin/devices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device_integration.read / .write</w:t>
            </w:r>
          </w:p>
        </w:tc>
      </w:tr>
      <w:tr>
        <w:tc>
          <w:tcPr>
            <w:tcW w:type="dxa" w:w="6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POST /api/admin/devices/{id}/heartbeat</w:t>
            </w:r>
          </w:p>
        </w:tc>
        <w:tc>
          <w:tcPr>
            <w:tcW w:type="dxa" w:w="3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dispensing.write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GET /api/dispensing/transactions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dispensing.read</w:t>
            </w:r>
          </w:p>
        </w:tc>
      </w:tr>
      <w:tr>
        <w:tc>
          <w:tcPr>
            <w:tcW w:type="dxa" w:w="6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POST /api/dispensing/request</w:t>
            </w:r>
          </w:p>
        </w:tc>
        <w:tc>
          <w:tcPr>
            <w:tcW w:type="dxa" w:w="3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dispensing.write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POST /api/dispensing/{id}/complete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dispensing.write</w:t>
            </w:r>
          </w:p>
        </w:tc>
      </w:tr>
      <w:tr>
        <w:tc>
          <w:tcPr>
            <w:tcW w:type="dxa" w:w="6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POST /api/dispensing/{id}/fail</w:t>
            </w:r>
          </w:p>
        </w:tc>
        <w:tc>
          <w:tcPr>
            <w:tcW w:type="dxa" w:w="3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r>
              <w:rPr>
                <w:b w:val="false"/>
                <w:bCs w:val="false"/>
                <w:sz w:val="18"/>
                <w:szCs w:val="18"/>
              </w:rPr>
              <w:t xml:space="preserve">dispensing.write</w:t>
            </w:r>
          </w:p>
        </w:tc>
      </w:tr>
    </w:tbl>
    <w:p>
      <w:pPr>
        <w:spacing w:after="160"/>
      </w:pPr>
      <w:r>
        <w:t xml:space="preserve"/>
      </w:r>
    </w:p>
    <w:p>
      <w:pPr>
        <w:spacing w:after="160"/>
      </w:pPr>
      <w:r>
        <w:rPr>
          <w:i/>
          <w:iCs/>
          <w:color w:val="666666"/>
          <w:sz w:val="20"/>
          <w:szCs w:val="20"/>
        </w:rPr>
        <w:t xml:space="preserve">Note: this pass targeted the SQLite/EF Core development path (the one exercised by dotnet run and the seeded demo dataset). A SQL Server production cutover additionally requires updating database/schema.sql and database/procedures.sql (notably sp_IntakeInventoryItems) to carry the new columns and tables — tracked as a follow-up in Section 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Kuwait Finance House — Precious Metals Inventory Management System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PMIMS — Compliance &amp; Scalability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2026-07-03T12:53:26.131Z</dcterms:created>
  <dcterms:modified xsi:type="dcterms:W3CDTF">2026-07-03T12:53:26.131Z</dcterms:modified>
</cp:coreProperties>
</file>

<file path=docProps/custom.xml><?xml version="1.0" encoding="utf-8"?>
<Properties xmlns="http://schemas.openxmlformats.org/officeDocument/2006/custom-properties" xmlns:vt="http://schemas.openxmlformats.org/officeDocument/2006/docPropsVTypes"/>
</file>